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04F721">
      <w:pPr>
        <w:widowControl/>
        <w:ind w:firstLine="4200" w:firstLineChars="1400"/>
        <w:jc w:val="left"/>
        <w:rPr>
          <w:rFonts w:hint="default" w:ascii="宋体" w:hAnsi="宋体" w:eastAsia="宋体" w:cs="宋体"/>
          <w:bCs/>
          <w:kern w:val="0"/>
          <w:sz w:val="30"/>
          <w:szCs w:val="30"/>
          <w:highlight w:val="none"/>
          <w:lang w:val="en-US" w:eastAsia="zh-CN"/>
        </w:rPr>
      </w:pPr>
      <w:r>
        <w:rPr>
          <w:rFonts w:hint="eastAsia" w:ascii="宋体" w:hAnsi="宋体" w:cs="宋体"/>
          <w:kern w:val="0"/>
          <w:sz w:val="30"/>
          <w:szCs w:val="30"/>
          <w:highlight w:val="none"/>
        </w:rPr>
        <w:t>合同编号：CXLSSC—</w:t>
      </w:r>
      <w:r>
        <w:rPr>
          <w:rFonts w:hint="eastAsia" w:ascii="宋体" w:hAnsi="宋体" w:cs="宋体"/>
          <w:kern w:val="0"/>
          <w:sz w:val="30"/>
          <w:szCs w:val="30"/>
          <w:highlight w:val="none"/>
          <w:lang w:val="en-US" w:eastAsia="zh-CN"/>
        </w:rPr>
        <w:t>**********</w:t>
      </w:r>
    </w:p>
    <w:p w14:paraId="250E4AAE">
      <w:pPr>
        <w:widowControl/>
        <w:spacing w:before="240" w:after="240"/>
        <w:jc w:val="center"/>
        <w:rPr>
          <w:rFonts w:ascii="黑体" w:hAnsi="黑体" w:eastAsia="黑体" w:cs="宋体"/>
          <w:b/>
          <w:kern w:val="0"/>
          <w:sz w:val="44"/>
          <w:szCs w:val="44"/>
          <w:highlight w:val="none"/>
        </w:rPr>
      </w:pPr>
      <w:r>
        <w:rPr>
          <w:rFonts w:hint="eastAsia" w:ascii="黑体" w:hAnsi="黑体" w:eastAsia="黑体" w:cs="宋体"/>
          <w:b/>
          <w:kern w:val="0"/>
          <w:sz w:val="44"/>
          <w:szCs w:val="44"/>
          <w:highlight w:val="none"/>
        </w:rPr>
        <w:t>竞价销售合同书</w:t>
      </w:r>
    </w:p>
    <w:p w14:paraId="1FE9430C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  <w:u w:val="single"/>
        </w:rPr>
      </w:pP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甲方（卖方）：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长兴县粮食收储有限公司</w:t>
      </w:r>
    </w:p>
    <w:p w14:paraId="27C01E75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</w:pP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乙方（买方）：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  <w:t>*********</w:t>
      </w:r>
    </w:p>
    <w:p w14:paraId="6F096B97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</w:pPr>
    </w:p>
    <w:p w14:paraId="209BAFA7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甲方通过委托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国家粮食浙江交易中心湖州分中心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在“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国家粮食交易平台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”上竞价销售粮食(场次编号：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</w:rPr>
        <w:t>国粮浙交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  <w:lang w:val="en-US" w:eastAsia="zh-CN"/>
        </w:rPr>
        <w:t>****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</w:rPr>
        <w:t>第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  <w:lang w:val="en-US" w:eastAsia="zh-CN"/>
        </w:rPr>
        <w:t>***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</w:rPr>
        <w:t>号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)，乙方参与竞价交易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lang w:eastAsia="zh-CN"/>
        </w:rPr>
        <w:t>竞得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，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lang w:eastAsia="zh-CN"/>
        </w:rPr>
        <w:t>竞得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段为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lang w:val="en-US" w:eastAsia="zh-CN"/>
        </w:rPr>
        <w:t>**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号标段，双方以“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lang w:eastAsia="zh-CN"/>
        </w:rPr>
        <w:t>竞得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通知书”和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上发布的“</w:t>
      </w:r>
      <w:r>
        <w:rPr>
          <w:rStyle w:val="7"/>
          <w:rFonts w:hint="eastAsia" w:ascii="仿宋" w:hAnsi="仿宋" w:eastAsia="仿宋"/>
          <w:b w:val="0"/>
          <w:color w:val="333333"/>
          <w:sz w:val="30"/>
          <w:szCs w:val="30"/>
          <w:highlight w:val="none"/>
        </w:rPr>
        <w:t>竞价交易结果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”为依据实现交易。为明确双方责任，根</w:t>
      </w:r>
      <w:bookmarkStart w:id="0" w:name="_GoBack"/>
      <w:bookmarkEnd w:id="0"/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据《民法典》《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国家粮食浙江交易中心网上竞价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交易规则》和</w:t>
      </w:r>
      <w:r>
        <w:rPr>
          <w:rFonts w:hint="eastAsia" w:ascii="仿宋" w:hAnsi="仿宋" w:eastAsia="仿宋"/>
          <w:sz w:val="30"/>
          <w:szCs w:val="30"/>
          <w:highlight w:val="none"/>
        </w:rPr>
        <w:t>浙江长兴饲料稻谷公开竞价销售粮油交割细则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等的规定，特订立以下合同条款，以资共同遵守。</w:t>
      </w:r>
    </w:p>
    <w:p w14:paraId="21EEA231">
      <w:pPr>
        <w:widowControl/>
        <w:numPr>
          <w:ilvl w:val="0"/>
          <w:numId w:val="1"/>
        </w:numPr>
        <w:shd w:val="clear" w:color="auto" w:fill="FFFFFF"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销售粮食的品种、数量、价格和交易额等；</w:t>
      </w:r>
    </w:p>
    <w:p w14:paraId="5FB19931">
      <w:pPr>
        <w:widowControl/>
        <w:shd w:val="clear" w:color="auto" w:fill="FFFFFF"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品种：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饲料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  <w:t>早籼稻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谷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</w:t>
      </w:r>
    </w:p>
    <w:p w14:paraId="589B611A">
      <w:pPr>
        <w:widowControl/>
        <w:shd w:val="clear" w:color="auto" w:fill="FFFFFF"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数量：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吨（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lang w:val="en-US" w:eastAsia="zh-CN"/>
        </w:rPr>
        <w:t>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号标段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吨）；</w:t>
      </w:r>
    </w:p>
    <w:p w14:paraId="06468BE8">
      <w:pPr>
        <w:widowControl/>
        <w:shd w:val="clear" w:color="auto" w:fill="FFFFFF"/>
        <w:spacing w:line="480" w:lineRule="exact"/>
        <w:ind w:firstLine="600" w:firstLineChars="200"/>
        <w:jc w:val="left"/>
        <w:rPr>
          <w:rFonts w:ascii="仿宋" w:hAnsi="仿宋" w:eastAsia="仿宋" w:cs="Arial"/>
          <w:spacing w:val="15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价格：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元/吨，总交易额为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*******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元（大写：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lang w:val="en-US" w:eastAsia="zh-CN"/>
        </w:rPr>
        <w:t>********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）。</w:t>
      </w:r>
    </w:p>
    <w:p w14:paraId="36F647ED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二、销售粮食的产地、生产年份及质量指标；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饲料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早籼稻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谷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；产地：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浙江长兴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；生产年份：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</w:rPr>
        <w:t>年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；质量指标：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仓库大样为准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（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以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国家粮食浙江交易中心湖州分中心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竞价销售会公布的标的物详情作参考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）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。</w:t>
      </w:r>
    </w:p>
    <w:p w14:paraId="204FC6C2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三、交货地点、交货方式：交货地点：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</w:rPr>
        <w:t>粮库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</w:rPr>
        <w:t>号仓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；交货方式：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</w:rPr>
        <w:t>车板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散装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  <w:u w:val="single"/>
        </w:rPr>
        <w:t>交货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；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由乙方自行安排承运，费用由乙方承担。</w:t>
      </w:r>
    </w:p>
    <w:p w14:paraId="539035F7">
      <w:pPr>
        <w:widowControl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四、交货期限：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  <w:t>自合同签订之日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</w:rPr>
        <w:t>起至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  <w:lang w:val="en-US" w:eastAsia="zh-CN"/>
        </w:rPr>
        <w:t>****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  <w:lang w:val="en-US" w:eastAsia="zh-CN"/>
        </w:rPr>
        <w:t>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</w:rPr>
        <w:t>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  <w:lang w:val="en-US" w:eastAsia="zh-CN"/>
        </w:rPr>
        <w:t>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</w:rPr>
        <w:t>日止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。（款到发货）</w:t>
      </w:r>
    </w:p>
    <w:p w14:paraId="0016D801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五、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结算办法：</w:t>
      </w:r>
    </w:p>
    <w:p w14:paraId="7C439E71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</w:rPr>
        <w:t>1、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由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</w:rPr>
        <w:t>长兴县粮食收储有限公司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与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u w:val="single"/>
          <w:shd w:val="clear" w:color="auto" w:fill="FFFFFF"/>
          <w:lang w:val="en-US" w:eastAsia="zh-CN"/>
        </w:rPr>
        <w:t>***********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直接结算。</w:t>
      </w:r>
    </w:p>
    <w:p w14:paraId="5DF00483">
      <w:pPr>
        <w:widowControl/>
        <w:shd w:val="clear" w:color="auto" w:fill="FFFFFF"/>
        <w:spacing w:line="480" w:lineRule="exact"/>
        <w:ind w:firstLine="600" w:firstLineChars="200"/>
        <w:jc w:val="left"/>
        <w:rPr>
          <w:rFonts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货款结算期限: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乙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方需在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  <w:lang w:val="en-US" w:eastAsia="zh-CN"/>
        </w:rPr>
        <w:t>****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  <w:lang w:val="en-US" w:eastAsia="zh-CN"/>
        </w:rPr>
        <w:t>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  <w:lang w:val="en-US" w:eastAsia="zh-CN"/>
        </w:rPr>
        <w:t>**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日前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  <w:lang w:val="en-US" w:eastAsia="zh-CN"/>
        </w:rPr>
        <w:t>支付全部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货款（</w:t>
      </w:r>
      <w:r>
        <w:rPr>
          <w:rFonts w:hint="eastAsia" w:ascii="仿宋" w:hAnsi="仿宋" w:eastAsia="仿宋" w:cs="Verdana"/>
          <w:bCs/>
          <w:color w:val="000000"/>
          <w:kern w:val="0"/>
          <w:sz w:val="30"/>
          <w:szCs w:val="30"/>
          <w:highlight w:val="none"/>
        </w:rPr>
        <w:t>款到发货）。</w:t>
      </w:r>
    </w:p>
    <w:p w14:paraId="0C76A9C8">
      <w:pPr>
        <w:spacing w:line="480" w:lineRule="exact"/>
        <w:ind w:firstLine="600" w:firstLineChars="200"/>
        <w:rPr>
          <w:rFonts w:ascii="仿宋" w:hAnsi="仿宋" w:eastAsia="仿宋" w:cs="仿宋"/>
          <w:color w:val="000000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3、数量：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以甲方库点实际数（计量衡器称重）为准。</w:t>
      </w:r>
    </w:p>
    <w:p w14:paraId="030E3ACF">
      <w:pPr>
        <w:spacing w:line="480" w:lineRule="exact"/>
        <w:ind w:firstLine="450" w:firstLineChars="150"/>
        <w:rPr>
          <w:rFonts w:ascii="仿宋" w:hAnsi="仿宋" w:eastAsia="仿宋" w:cs="宋体"/>
          <w:color w:val="000000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（1）甲方向乙方交割结算数量达到标段数量后标段所在仓房仍有粮食的，乙方必须购买（若同一仓房分多个标段，剩余部分由最后提货（按车次）的乙方购买），乙方按竞得价格向甲方另行支付货款（若乙方竞得同一仓号多个标段，以最后一个标段竞得价格结算）。</w:t>
      </w:r>
    </w:p>
    <w:p w14:paraId="7D481129">
      <w:pPr>
        <w:spacing w:line="480" w:lineRule="exact"/>
        <w:ind w:firstLine="450" w:firstLineChars="150"/>
        <w:rPr>
          <w:rFonts w:ascii="仿宋" w:hAnsi="仿宋" w:eastAsia="仿宋" w:cs="宋体"/>
          <w:color w:val="FF0000"/>
          <w:sz w:val="30"/>
          <w:szCs w:val="30"/>
          <w:highlight w:val="none"/>
          <w:u w:val="single"/>
        </w:rPr>
      </w:pPr>
      <w:r>
        <w:rPr>
          <w:rFonts w:hint="eastAsia" w:ascii="仿宋" w:hAnsi="仿宋" w:eastAsia="仿宋" w:cs="宋体"/>
          <w:sz w:val="30"/>
          <w:szCs w:val="30"/>
          <w:highlight w:val="none"/>
        </w:rPr>
        <w:t>（2）甲方向乙方交割结算数量有短少，按照竞得价格退还不足部分的货款（若乙方竞得同一仓号多个标段，以最后一个标段竞得价格结算）。</w:t>
      </w:r>
    </w:p>
    <w:p w14:paraId="7F668272">
      <w:pPr>
        <w:spacing w:before="100" w:beforeAutospacing="1" w:after="100" w:afterAutospacing="1" w:line="480" w:lineRule="exact"/>
        <w:ind w:firstLine="602" w:firstLineChars="200"/>
        <w:rPr>
          <w:rFonts w:ascii="仿宋" w:hAnsi="仿宋" w:eastAsia="仿宋" w:cs="宋体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b/>
          <w:color w:val="000000"/>
          <w:kern w:val="0"/>
          <w:sz w:val="30"/>
          <w:szCs w:val="30"/>
          <w:highlight w:val="none"/>
          <w:shd w:val="clear" w:color="auto" w:fill="FFFFFF"/>
        </w:rPr>
        <w:t>六、</w:t>
      </w:r>
      <w:r>
        <w:rPr>
          <w:rFonts w:hint="eastAsia" w:ascii="仿宋" w:hAnsi="仿宋" w:eastAsia="仿宋" w:cs="宋体"/>
          <w:b/>
          <w:kern w:val="0"/>
          <w:sz w:val="30"/>
          <w:szCs w:val="30"/>
          <w:highlight w:val="none"/>
          <w:shd w:val="clear" w:color="auto" w:fill="FFFFFF"/>
        </w:rPr>
        <w:t>特别</w:t>
      </w:r>
      <w:r>
        <w:rPr>
          <w:rFonts w:hint="eastAsia" w:ascii="仿宋" w:hAnsi="仿宋" w:eastAsia="仿宋" w:cs="宋体"/>
          <w:b/>
          <w:bCs/>
          <w:sz w:val="30"/>
          <w:szCs w:val="30"/>
          <w:highlight w:val="none"/>
        </w:rPr>
        <w:t>约定：本批次饲料用</w:t>
      </w:r>
      <w:r>
        <w:rPr>
          <w:rFonts w:hint="eastAsia" w:ascii="仿宋" w:hAnsi="仿宋" w:eastAsia="仿宋" w:cs="宋体"/>
          <w:b/>
          <w:bCs/>
          <w:sz w:val="30"/>
          <w:szCs w:val="30"/>
          <w:highlight w:val="none"/>
          <w:lang w:val="en-US" w:eastAsia="zh-CN"/>
        </w:rPr>
        <w:t>早籼</w:t>
      </w:r>
      <w:r>
        <w:rPr>
          <w:rFonts w:hint="eastAsia" w:ascii="仿宋" w:hAnsi="仿宋" w:eastAsia="仿宋" w:cs="宋体"/>
          <w:b/>
          <w:bCs/>
          <w:sz w:val="30"/>
          <w:szCs w:val="30"/>
          <w:highlight w:val="none"/>
        </w:rPr>
        <w:t>稻谷仅限乙方自用于饲料加工，不得转卖、不能用作口粮</w:t>
      </w:r>
      <w:r>
        <w:rPr>
          <w:rFonts w:hint="eastAsia" w:ascii="仿宋" w:hAnsi="仿宋" w:eastAsia="仿宋" w:cs="Tahoma"/>
          <w:b/>
          <w:bCs/>
          <w:sz w:val="30"/>
          <w:szCs w:val="30"/>
          <w:highlight w:val="none"/>
        </w:rPr>
        <w:t>，否则一切不良后果和法律责任由乙方承担，与甲方无关。</w:t>
      </w:r>
    </w:p>
    <w:p w14:paraId="3137A75F">
      <w:pPr>
        <w:widowControl/>
        <w:shd w:val="clear" w:color="auto" w:fill="FFFFFF"/>
        <w:spacing w:after="100" w:afterAutospacing="1" w:line="480" w:lineRule="exact"/>
        <w:ind w:firstLine="561"/>
        <w:jc w:val="left"/>
        <w:rPr>
          <w:rFonts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七、其它说明：成交价均指含税价；</w:t>
      </w:r>
      <w:r>
        <w:rPr>
          <w:rFonts w:hint="eastAsia" w:ascii="仿宋" w:hAnsi="仿宋" w:eastAsia="仿宋"/>
          <w:sz w:val="30"/>
          <w:szCs w:val="30"/>
          <w:highlight w:val="none"/>
        </w:rPr>
        <w:t>甲方开具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正式销货</w:t>
      </w:r>
      <w:r>
        <w:rPr>
          <w:rFonts w:hint="eastAsia" w:ascii="仿宋" w:hAnsi="仿宋" w:eastAsia="仿宋"/>
          <w:sz w:val="30"/>
          <w:szCs w:val="30"/>
          <w:highlight w:val="none"/>
        </w:rPr>
        <w:t>发票给乙方，</w:t>
      </w:r>
      <w:r>
        <w:rPr>
          <w:rFonts w:hint="eastAsia" w:ascii="仿宋" w:hAnsi="仿宋" w:eastAsia="仿宋"/>
          <w:bCs/>
          <w:color w:val="000000"/>
          <w:sz w:val="30"/>
          <w:szCs w:val="30"/>
          <w:highlight w:val="none"/>
        </w:rPr>
        <w:t>发票单位名称与乙方（签订合同单位）名称一致，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highlight w:val="none"/>
          <w:shd w:val="clear" w:color="auto" w:fill="FFFFFF"/>
        </w:rPr>
        <w:t>有关印花税等税款按国家有关规定由各自自行缴纳。</w:t>
      </w:r>
    </w:p>
    <w:p w14:paraId="3725BA57">
      <w:pPr>
        <w:widowControl/>
        <w:spacing w:after="100" w:afterAutospacing="1"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  <w:u w:val="single"/>
        </w:rPr>
      </w:pP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八、交易保证金：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为确保合同的履行，乙方已向</w:t>
      </w:r>
      <w:r>
        <w:rPr>
          <w:rFonts w:hint="eastAsia" w:ascii="仿宋" w:hAnsi="仿宋" w:eastAsia="仿宋" w:cs="宋体"/>
          <w:sz w:val="30"/>
          <w:szCs w:val="30"/>
          <w:highlight w:val="none"/>
          <w:u w:val="single"/>
        </w:rPr>
        <w:t>国家粮食浙江交易中心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交纳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履约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保证金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  <w:u w:val="single"/>
          <w:lang w:val="en-US" w:eastAsia="zh-CN"/>
        </w:rPr>
        <w:t>******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元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（大写：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  <w:t>*******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none"/>
        </w:rPr>
        <w:t>）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。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本次交易需甲方接收到乙方所在地粮食监管部门对该批饲料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  <w:lang w:val="en-US" w:eastAsia="zh-CN"/>
        </w:rPr>
        <w:t>早籼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稻谷加工完成的书面回复后，且乙方按时履约完毕后，经</w:t>
      </w:r>
      <w:r>
        <w:rPr>
          <w:rFonts w:hint="eastAsia" w:ascii="仿宋" w:hAnsi="仿宋" w:eastAsia="仿宋" w:cs="宋体"/>
          <w:sz w:val="30"/>
          <w:szCs w:val="30"/>
          <w:highlight w:val="none"/>
          <w:u w:val="single"/>
        </w:rPr>
        <w:t>国家粮食浙江交易中心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  <w:u w:val="single"/>
        </w:rPr>
        <w:t>审核确认，方可退还冻结的履约保证金，否则按违约处理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  <w:u w:val="single"/>
        </w:rPr>
        <w:t>。</w:t>
      </w:r>
    </w:p>
    <w:p w14:paraId="2D5710C5">
      <w:pPr>
        <w:widowControl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九、违约责任：</w:t>
      </w:r>
    </w:p>
    <w:p w14:paraId="387E3A1B">
      <w:pPr>
        <w:widowControl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1、</w:t>
      </w:r>
      <w:r>
        <w:rPr>
          <w:rFonts w:hint="eastAsia" w:ascii="仿宋" w:hAnsi="仿宋" w:eastAsia="仿宋"/>
          <w:sz w:val="30"/>
          <w:szCs w:val="30"/>
          <w:highlight w:val="none"/>
        </w:rPr>
        <w:t>若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乙</w:t>
      </w:r>
      <w:r>
        <w:rPr>
          <w:rFonts w:hint="eastAsia" w:ascii="仿宋" w:hAnsi="仿宋" w:eastAsia="仿宋"/>
          <w:sz w:val="30"/>
          <w:szCs w:val="30"/>
          <w:highlight w:val="none"/>
        </w:rPr>
        <w:t>方未按期付清货款，甲方对未付清部分收取滞纳金，收取标准为</w:t>
      </w:r>
      <w:r>
        <w:rPr>
          <w:rFonts w:hint="eastAsia" w:ascii="仿宋" w:hAnsi="仿宋" w:eastAsia="仿宋"/>
          <w:sz w:val="30"/>
          <w:szCs w:val="30"/>
          <w:highlight w:val="none"/>
          <w:u w:val="single"/>
        </w:rPr>
        <w:t>每日万分之五</w:t>
      </w:r>
      <w:r>
        <w:rPr>
          <w:rFonts w:hint="eastAsia" w:ascii="仿宋" w:hAnsi="仿宋" w:eastAsia="仿宋"/>
          <w:sz w:val="30"/>
          <w:szCs w:val="30"/>
          <w:highlight w:val="none"/>
        </w:rPr>
        <w:t>。若竞得方延期付款超过7个日历天，作违约处理，并以公开竞价销售方式处置标的物，由此产生的一切责任、费用和损失均由乙方承担（乙方缴存于国家粮食浙江交易中心的保证金作为违约金赔付给甲方；若违约造成的费用和损失超出保证金的，乙方还应对超出部分进行赔偿）。</w:t>
      </w:r>
    </w:p>
    <w:p w14:paraId="250EAE03">
      <w:pPr>
        <w:spacing w:line="480" w:lineRule="exact"/>
        <w:ind w:firstLine="600" w:firstLineChars="200"/>
        <w:rPr>
          <w:rFonts w:ascii="仿宋" w:hAnsi="仿宋" w:eastAsia="仿宋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2、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若乙方未按本合同第四条到交货地点完成提货，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逾期</w:t>
      </w:r>
      <w:r>
        <w:rPr>
          <w:rFonts w:hint="eastAsia" w:ascii="仿宋" w:hAnsi="仿宋" w:eastAsia="仿宋" w:cs="宋体"/>
          <w:sz w:val="30"/>
          <w:szCs w:val="30"/>
          <w:highlight w:val="none"/>
          <w:lang w:val="en-US" w:eastAsia="zh-CN"/>
        </w:rPr>
        <w:t>5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个日历天内（含</w:t>
      </w:r>
      <w:r>
        <w:rPr>
          <w:rFonts w:hint="eastAsia" w:ascii="仿宋" w:hAnsi="仿宋" w:eastAsia="仿宋" w:cs="宋体"/>
          <w:sz w:val="30"/>
          <w:szCs w:val="30"/>
          <w:highlight w:val="none"/>
          <w:lang w:val="en-US" w:eastAsia="zh-CN"/>
        </w:rPr>
        <w:t>5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日历天）</w:t>
      </w: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，乙方自行承担逾期未提清货物可能发生的变质、损毁、灭失、超保质期等一切责任、费用和损失。储存交割库点向乙方按</w:t>
      </w: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  <w:lang w:val="en-US" w:eastAsia="zh-CN"/>
        </w:rPr>
        <w:t>1.0</w:t>
      </w: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元/日·吨收取仓房（货位）占用费（按标段数量结算，若标段内包含多个独立货位，按货位约定数量结算）。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逾期提货超过5个日历天，储存交割库点向乙方按</w:t>
      </w:r>
      <w:r>
        <w:rPr>
          <w:rFonts w:hint="eastAsia" w:ascii="仿宋" w:hAnsi="仿宋" w:eastAsia="仿宋" w:cs="宋体"/>
          <w:sz w:val="30"/>
          <w:szCs w:val="30"/>
          <w:highlight w:val="none"/>
          <w:lang w:val="en-US" w:eastAsia="zh-CN"/>
        </w:rPr>
        <w:t>2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.0元/日/吨收取仓房</w:t>
      </w: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（货位）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占用费（按标段数量结算</w:t>
      </w:r>
      <w:r>
        <w:rPr>
          <w:rFonts w:hint="eastAsia" w:ascii="仿宋" w:hAnsi="仿宋" w:eastAsia="仿宋" w:cs="宋体"/>
          <w:color w:val="000000"/>
          <w:sz w:val="30"/>
          <w:szCs w:val="30"/>
          <w:highlight w:val="none"/>
        </w:rPr>
        <w:t>，若标段内包含多个独立货位，按货位约定数量结算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）；甲方有权对未提清货物进行移库（移库费用按剩余数量结算，包括进出库费、人工费和车辆短驳费等）或判定乙方违约，由此产生的一切责任、费用和损失均由乙方承担（含粮食移库损耗等）。</w:t>
      </w:r>
    </w:p>
    <w:p w14:paraId="68EA76CF">
      <w:pPr>
        <w:widowControl/>
        <w:spacing w:line="480" w:lineRule="exact"/>
        <w:ind w:firstLine="513" w:firstLineChars="171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十、其它约定。交易纠纷的解决方式：本合同在履行过程中发生的争议，由甲乙双方协商解决；也可由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国家粮食浙江交易中心湖州分中心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调解；协商或调解不成的，提交</w:t>
      </w:r>
      <w:r>
        <w:rPr>
          <w:rFonts w:hint="eastAsia" w:ascii="仿宋" w:hAnsi="仿宋" w:eastAsia="仿宋" w:cs="Tahoma"/>
          <w:color w:val="000000"/>
          <w:sz w:val="30"/>
          <w:szCs w:val="30"/>
          <w:highlight w:val="none"/>
        </w:rPr>
        <w:t>甲方所在地人民法院诉讼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。</w:t>
      </w:r>
    </w:p>
    <w:p w14:paraId="7ECC335E">
      <w:pPr>
        <w:widowControl/>
        <w:spacing w:line="480" w:lineRule="exact"/>
        <w:ind w:firstLine="600" w:firstLineChars="200"/>
        <w:jc w:val="left"/>
        <w:rPr>
          <w:rFonts w:ascii="仿宋" w:hAnsi="仿宋" w:eastAsia="仿宋" w:cs="Tahoma"/>
          <w:bCs/>
          <w:color w:val="000000"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十一、本合同未尽事宜，按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《</w:t>
      </w:r>
      <w:r>
        <w:rPr>
          <w:rFonts w:hint="eastAsia" w:ascii="仿宋" w:hAnsi="仿宋" w:eastAsia="仿宋" w:cs="宋体"/>
          <w:sz w:val="30"/>
          <w:szCs w:val="30"/>
          <w:highlight w:val="none"/>
        </w:rPr>
        <w:t>国家粮食浙江交易中心网上竞价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交易规则</w:t>
      </w:r>
      <w:r>
        <w:rPr>
          <w:rFonts w:hint="eastAsia" w:ascii="仿宋" w:hAnsi="仿宋" w:eastAsia="仿宋" w:cs="宋体"/>
          <w:bCs/>
          <w:color w:val="000000"/>
          <w:kern w:val="0"/>
          <w:sz w:val="30"/>
          <w:szCs w:val="30"/>
          <w:highlight w:val="none"/>
        </w:rPr>
        <w:t>》</w:t>
      </w: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的有关规定执行。</w:t>
      </w:r>
    </w:p>
    <w:p w14:paraId="55A27222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十二、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本合同自甲乙双方法定代表人（或委托代理人）签字及单位盖章后生效。</w:t>
      </w:r>
    </w:p>
    <w:p w14:paraId="7FE64331">
      <w:pPr>
        <w:widowControl/>
        <w:spacing w:line="480" w:lineRule="exact"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Tahoma"/>
          <w:bCs/>
          <w:color w:val="000000"/>
          <w:kern w:val="0"/>
          <w:sz w:val="30"/>
          <w:szCs w:val="30"/>
          <w:highlight w:val="none"/>
        </w:rPr>
        <w:t>十三</w:t>
      </w: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、本合同一式二份，双方各执一份。</w:t>
      </w:r>
    </w:p>
    <w:p w14:paraId="429B05CF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</w:pPr>
    </w:p>
    <w:p w14:paraId="00991DDB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</w:pPr>
    </w:p>
    <w:p w14:paraId="3C037A3C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</w:pPr>
    </w:p>
    <w:p w14:paraId="6D338E6A">
      <w:pPr>
        <w:widowControl/>
        <w:spacing w:line="480" w:lineRule="exact"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</w:pPr>
    </w:p>
    <w:p w14:paraId="19A916C5">
      <w:pPr>
        <w:widowControl/>
        <w:ind w:firstLine="600" w:firstLineChars="200"/>
        <w:jc w:val="left"/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〈以下无正文〉</w:t>
      </w:r>
    </w:p>
    <w:p w14:paraId="1B520A68">
      <w:pPr>
        <w:widowControl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  <w:r>
        <w:rPr>
          <w:rFonts w:hint="eastAsia" w:ascii="仿宋" w:hAnsi="仿宋" w:eastAsia="仿宋" w:cs="宋体"/>
          <w:bCs/>
          <w:kern w:val="0"/>
          <w:sz w:val="30"/>
          <w:szCs w:val="30"/>
          <w:highlight w:val="none"/>
        </w:rPr>
        <w:t>〈此页无正文，为签署页〉</w:t>
      </w:r>
    </w:p>
    <w:p w14:paraId="3E1686E6">
      <w:pPr>
        <w:widowControl/>
        <w:ind w:firstLine="600" w:firstLineChars="200"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</w:p>
    <w:p w14:paraId="5C460A8C">
      <w:pPr>
        <w:widowControl/>
        <w:jc w:val="left"/>
        <w:rPr>
          <w:rFonts w:ascii="仿宋" w:hAnsi="仿宋" w:eastAsia="仿宋" w:cs="宋体"/>
          <w:bCs/>
          <w:kern w:val="0"/>
          <w:sz w:val="30"/>
          <w:szCs w:val="30"/>
          <w:highlight w:val="none"/>
        </w:rPr>
      </w:pPr>
    </w:p>
    <w:tbl>
      <w:tblPr>
        <w:tblStyle w:val="5"/>
        <w:tblW w:w="9230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0"/>
        <w:gridCol w:w="4620"/>
      </w:tblGrid>
      <w:tr w14:paraId="6BBC4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7A3EF744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甲方（盖章）：长兴县粮食收储有限公司</w:t>
            </w:r>
          </w:p>
        </w:tc>
        <w:tc>
          <w:tcPr>
            <w:tcW w:w="4620" w:type="dxa"/>
            <w:vAlign w:val="center"/>
          </w:tcPr>
          <w:p w14:paraId="082DE55E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乙方（盖章）：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</w:t>
            </w:r>
          </w:p>
        </w:tc>
      </w:tr>
      <w:tr w14:paraId="36450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</w:tcPr>
          <w:p w14:paraId="294E56AA">
            <w:pPr>
              <w:snapToGrid w:val="0"/>
              <w:spacing w:line="400" w:lineRule="exact"/>
              <w:rPr>
                <w:rFonts w:ascii="仿宋" w:hAnsi="仿宋" w:eastAsia="仿宋" w:cs="仿宋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22"/>
                <w:highlight w:val="none"/>
              </w:rPr>
              <w:t>法定代表人或授权代表</w:t>
            </w:r>
          </w:p>
          <w:p w14:paraId="26DBCADC">
            <w:pPr>
              <w:snapToGrid w:val="0"/>
              <w:spacing w:line="400" w:lineRule="exact"/>
              <w:rPr>
                <w:rFonts w:ascii="仿宋" w:hAnsi="仿宋" w:eastAsia="仿宋" w:cs="仿宋"/>
                <w:b/>
                <w:bCs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22"/>
                <w:highlight w:val="none"/>
              </w:rPr>
              <w:t>（签字或盖章）：</w:t>
            </w:r>
          </w:p>
        </w:tc>
        <w:tc>
          <w:tcPr>
            <w:tcW w:w="4620" w:type="dxa"/>
          </w:tcPr>
          <w:p w14:paraId="3A223B95">
            <w:pPr>
              <w:snapToGrid w:val="0"/>
              <w:spacing w:line="400" w:lineRule="exact"/>
              <w:rPr>
                <w:rFonts w:ascii="仿宋" w:hAnsi="仿宋" w:eastAsia="仿宋" w:cs="仿宋"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22"/>
                <w:highlight w:val="none"/>
              </w:rPr>
              <w:t>法定代表人或授权代表</w:t>
            </w:r>
          </w:p>
          <w:p w14:paraId="562AA7B0">
            <w:pPr>
              <w:snapToGrid w:val="0"/>
              <w:spacing w:line="400" w:lineRule="exact"/>
              <w:rPr>
                <w:rFonts w:ascii="仿宋" w:hAnsi="仿宋" w:eastAsia="仿宋" w:cs="仿宋"/>
                <w:b/>
                <w:bCs/>
                <w:color w:val="000000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22"/>
                <w:highlight w:val="none"/>
              </w:rPr>
              <w:t>（签字或盖章）：</w:t>
            </w:r>
          </w:p>
        </w:tc>
      </w:tr>
      <w:tr w14:paraId="5D0A7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307822E1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委托代理人：</w:t>
            </w:r>
          </w:p>
        </w:tc>
        <w:tc>
          <w:tcPr>
            <w:tcW w:w="4620" w:type="dxa"/>
            <w:vAlign w:val="center"/>
          </w:tcPr>
          <w:p w14:paraId="4F27AE48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委托代理人：</w:t>
            </w:r>
          </w:p>
        </w:tc>
      </w:tr>
      <w:tr w14:paraId="5F284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60A998E8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地址：长兴县</w:t>
            </w: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22"/>
                <w:szCs w:val="22"/>
                <w:highlight w:val="none"/>
              </w:rPr>
              <w:t>县前东街东方绿洲1幢501室</w:t>
            </w:r>
          </w:p>
        </w:tc>
        <w:tc>
          <w:tcPr>
            <w:tcW w:w="4620" w:type="dxa"/>
            <w:vAlign w:val="center"/>
          </w:tcPr>
          <w:p w14:paraId="4DF58572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地址：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**********</w:t>
            </w:r>
          </w:p>
        </w:tc>
      </w:tr>
      <w:tr w14:paraId="63248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20FF3EB1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联系电话：</w:t>
            </w: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22"/>
                <w:szCs w:val="22"/>
                <w:highlight w:val="none"/>
              </w:rPr>
              <w:t>0572-6038585</w:t>
            </w:r>
          </w:p>
        </w:tc>
        <w:tc>
          <w:tcPr>
            <w:tcW w:w="4620" w:type="dxa"/>
            <w:vAlign w:val="center"/>
          </w:tcPr>
          <w:p w14:paraId="586512C0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联系电话：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**********</w:t>
            </w:r>
          </w:p>
        </w:tc>
      </w:tr>
      <w:tr w14:paraId="50977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5AABE59F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纳税人识别号：913305227044651054</w:t>
            </w:r>
          </w:p>
        </w:tc>
        <w:tc>
          <w:tcPr>
            <w:tcW w:w="4620" w:type="dxa"/>
            <w:vAlign w:val="center"/>
          </w:tcPr>
          <w:p w14:paraId="6FB8F5BE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纳税人识别号：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**************</w:t>
            </w:r>
          </w:p>
        </w:tc>
      </w:tr>
      <w:tr w14:paraId="0B4B0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530E0A63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开户银行：</w:t>
            </w: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2"/>
                <w:szCs w:val="22"/>
                <w:highlight w:val="none"/>
              </w:rPr>
              <w:t>长兴县农业发展银行</w:t>
            </w:r>
          </w:p>
        </w:tc>
        <w:tc>
          <w:tcPr>
            <w:tcW w:w="4620" w:type="dxa"/>
            <w:vAlign w:val="center"/>
          </w:tcPr>
          <w:p w14:paraId="660C4954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开户银行：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*******************</w:t>
            </w:r>
          </w:p>
        </w:tc>
      </w:tr>
      <w:tr w14:paraId="5BA21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4610" w:type="dxa"/>
            <w:vAlign w:val="center"/>
          </w:tcPr>
          <w:p w14:paraId="59E7E4CB">
            <w:pPr>
              <w:spacing w:line="360" w:lineRule="exact"/>
              <w:rPr>
                <w:rFonts w:ascii="仿宋" w:hAnsi="仿宋" w:eastAsia="仿宋" w:cs="仿宋"/>
                <w:sz w:val="22"/>
                <w:szCs w:val="22"/>
                <w:highlight w:val="none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银行账号：</w:t>
            </w:r>
            <w:r>
              <w:rPr>
                <w:rFonts w:hint="eastAsia" w:ascii="仿宋" w:hAnsi="仿宋" w:eastAsia="仿宋" w:cs="宋体"/>
                <w:bCs/>
                <w:color w:val="000000"/>
                <w:kern w:val="0"/>
                <w:sz w:val="22"/>
                <w:szCs w:val="22"/>
                <w:highlight w:val="none"/>
              </w:rPr>
              <w:t>20333052200100000001061</w:t>
            </w:r>
          </w:p>
        </w:tc>
        <w:tc>
          <w:tcPr>
            <w:tcW w:w="4620" w:type="dxa"/>
            <w:vAlign w:val="center"/>
          </w:tcPr>
          <w:p w14:paraId="26956BBC">
            <w:pPr>
              <w:spacing w:line="360" w:lineRule="exact"/>
              <w:rPr>
                <w:rFonts w:hint="default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</w:rPr>
              <w:t>银行账号：</w:t>
            </w:r>
            <w:r>
              <w:rPr>
                <w:rFonts w:hint="eastAsia" w:ascii="仿宋" w:hAnsi="仿宋" w:eastAsia="仿宋" w:cs="仿宋"/>
                <w:sz w:val="22"/>
                <w:szCs w:val="22"/>
                <w:highlight w:val="none"/>
                <w:lang w:val="en-US" w:eastAsia="zh-CN"/>
              </w:rPr>
              <w:t>*******************</w:t>
            </w:r>
          </w:p>
        </w:tc>
      </w:tr>
    </w:tbl>
    <w:p w14:paraId="7E0E365C">
      <w:pPr>
        <w:widowControl/>
        <w:spacing w:line="480" w:lineRule="exact"/>
        <w:ind w:firstLine="560" w:firstLineChars="200"/>
        <w:jc w:val="left"/>
        <w:rPr>
          <w:rFonts w:ascii="宋体" w:hAnsi="宋体" w:eastAsia="仿宋" w:cs="宋体"/>
          <w:bCs/>
          <w:kern w:val="0"/>
          <w:sz w:val="28"/>
          <w:szCs w:val="28"/>
          <w:highlight w:val="none"/>
        </w:rPr>
      </w:pPr>
    </w:p>
    <w:p w14:paraId="0364A4F6">
      <w:pPr>
        <w:widowControl/>
        <w:spacing w:line="480" w:lineRule="exact"/>
        <w:jc w:val="left"/>
        <w:rPr>
          <w:rFonts w:hint="eastAsia" w:ascii="宋体" w:hAnsi="宋体" w:eastAsia="仿宋" w:cs="宋体"/>
          <w:bCs/>
          <w:kern w:val="0"/>
          <w:sz w:val="28"/>
          <w:szCs w:val="28"/>
          <w:highlight w:val="none"/>
        </w:rPr>
      </w:pPr>
    </w:p>
    <w:p w14:paraId="6864C03B">
      <w:pPr>
        <w:widowControl/>
        <w:spacing w:line="480" w:lineRule="exact"/>
        <w:ind w:firstLine="4480" w:firstLineChars="1600"/>
        <w:jc w:val="left"/>
        <w:rPr>
          <w:rFonts w:ascii="仿宋" w:hAnsi="仿宋" w:eastAsia="仿宋" w:cs="宋体"/>
          <w:bCs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宋体"/>
          <w:bCs/>
          <w:kern w:val="0"/>
          <w:sz w:val="28"/>
          <w:szCs w:val="28"/>
          <w:highlight w:val="none"/>
        </w:rPr>
        <w:t>签约地点：长兴</w:t>
      </w:r>
    </w:p>
    <w:p w14:paraId="1DEF00BF">
      <w:pPr>
        <w:widowControl/>
        <w:spacing w:line="480" w:lineRule="exact"/>
        <w:ind w:firstLine="4480" w:firstLineChars="1600"/>
        <w:jc w:val="left"/>
        <w:rPr>
          <w:rFonts w:ascii="宋体" w:hAnsi="宋体" w:cs="宋体"/>
          <w:bCs/>
          <w:kern w:val="0"/>
          <w:sz w:val="24"/>
          <w:highlight w:val="none"/>
        </w:rPr>
      </w:pP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</w:rPr>
        <w:t>签约时间：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  <w:lang w:val="en-US" w:eastAsia="zh-CN"/>
        </w:rPr>
        <w:t>****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</w:rPr>
        <w:t>年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  <w:lang w:val="en-US" w:eastAsia="zh-CN"/>
        </w:rPr>
        <w:t>**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</w:rPr>
        <w:t>月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  <w:lang w:val="en-US" w:eastAsia="zh-CN"/>
        </w:rPr>
        <w:t>**</w:t>
      </w:r>
      <w:r>
        <w:rPr>
          <w:rFonts w:hint="eastAsia" w:ascii="仿宋" w:hAnsi="仿宋" w:eastAsia="仿宋" w:cs="宋体"/>
          <w:bCs/>
          <w:color w:val="000000" w:themeColor="text1"/>
          <w:sz w:val="28"/>
          <w:szCs w:val="28"/>
          <w:highlight w:val="none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33E06B"/>
    <w:multiLevelType w:val="singleLevel"/>
    <w:tmpl w:val="9A33E06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4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Y0MjQ4ODE3ODMzOGE0YWQ1ZDgzYTA3YzJmNmQxMWUifQ=="/>
  </w:docVars>
  <w:rsids>
    <w:rsidRoot w:val="00142B89"/>
    <w:rsid w:val="000070BC"/>
    <w:rsid w:val="000076D7"/>
    <w:rsid w:val="00056BF2"/>
    <w:rsid w:val="00061362"/>
    <w:rsid w:val="00066287"/>
    <w:rsid w:val="00067856"/>
    <w:rsid w:val="00084589"/>
    <w:rsid w:val="000A059D"/>
    <w:rsid w:val="000A2DC7"/>
    <w:rsid w:val="000A5693"/>
    <w:rsid w:val="000D748C"/>
    <w:rsid w:val="00100F0F"/>
    <w:rsid w:val="00111FA0"/>
    <w:rsid w:val="00131058"/>
    <w:rsid w:val="001333B3"/>
    <w:rsid w:val="00142B89"/>
    <w:rsid w:val="00143A46"/>
    <w:rsid w:val="0014641B"/>
    <w:rsid w:val="00147F47"/>
    <w:rsid w:val="001555DE"/>
    <w:rsid w:val="001846B2"/>
    <w:rsid w:val="00195518"/>
    <w:rsid w:val="001C5774"/>
    <w:rsid w:val="001C71BC"/>
    <w:rsid w:val="001F3900"/>
    <w:rsid w:val="00223742"/>
    <w:rsid w:val="00254EC1"/>
    <w:rsid w:val="00256903"/>
    <w:rsid w:val="00264EB9"/>
    <w:rsid w:val="002B4604"/>
    <w:rsid w:val="002E6632"/>
    <w:rsid w:val="00312EB2"/>
    <w:rsid w:val="00317766"/>
    <w:rsid w:val="00353156"/>
    <w:rsid w:val="00354835"/>
    <w:rsid w:val="00365614"/>
    <w:rsid w:val="00374030"/>
    <w:rsid w:val="00393D6F"/>
    <w:rsid w:val="00394BB4"/>
    <w:rsid w:val="00396062"/>
    <w:rsid w:val="003A1948"/>
    <w:rsid w:val="003A6286"/>
    <w:rsid w:val="003B5A3C"/>
    <w:rsid w:val="003F3C6A"/>
    <w:rsid w:val="00400917"/>
    <w:rsid w:val="00406864"/>
    <w:rsid w:val="0041539D"/>
    <w:rsid w:val="00416769"/>
    <w:rsid w:val="004308E5"/>
    <w:rsid w:val="00433711"/>
    <w:rsid w:val="00461235"/>
    <w:rsid w:val="0047212A"/>
    <w:rsid w:val="004A18FA"/>
    <w:rsid w:val="004B58D7"/>
    <w:rsid w:val="004B7879"/>
    <w:rsid w:val="004D38C4"/>
    <w:rsid w:val="004E2C69"/>
    <w:rsid w:val="004E6070"/>
    <w:rsid w:val="004F19EF"/>
    <w:rsid w:val="004F2DC4"/>
    <w:rsid w:val="005127F0"/>
    <w:rsid w:val="0051761D"/>
    <w:rsid w:val="00525D7A"/>
    <w:rsid w:val="005918D0"/>
    <w:rsid w:val="00594B46"/>
    <w:rsid w:val="005A283C"/>
    <w:rsid w:val="005A75B3"/>
    <w:rsid w:val="005C09B5"/>
    <w:rsid w:val="005C51E9"/>
    <w:rsid w:val="0060145F"/>
    <w:rsid w:val="006147E3"/>
    <w:rsid w:val="006171D9"/>
    <w:rsid w:val="0062097B"/>
    <w:rsid w:val="0065781E"/>
    <w:rsid w:val="006619B2"/>
    <w:rsid w:val="00672055"/>
    <w:rsid w:val="0067544A"/>
    <w:rsid w:val="006A396F"/>
    <w:rsid w:val="006D6556"/>
    <w:rsid w:val="006E32A3"/>
    <w:rsid w:val="006F645E"/>
    <w:rsid w:val="00700863"/>
    <w:rsid w:val="00702B97"/>
    <w:rsid w:val="00725EAF"/>
    <w:rsid w:val="0073063F"/>
    <w:rsid w:val="00734D21"/>
    <w:rsid w:val="007634FE"/>
    <w:rsid w:val="00775A9D"/>
    <w:rsid w:val="0079531F"/>
    <w:rsid w:val="007A28F6"/>
    <w:rsid w:val="007A5AEF"/>
    <w:rsid w:val="007B0296"/>
    <w:rsid w:val="007C28DB"/>
    <w:rsid w:val="00821EBF"/>
    <w:rsid w:val="0082260A"/>
    <w:rsid w:val="008327AB"/>
    <w:rsid w:val="00837DBD"/>
    <w:rsid w:val="00855CBA"/>
    <w:rsid w:val="00856C75"/>
    <w:rsid w:val="00873117"/>
    <w:rsid w:val="008A2AE7"/>
    <w:rsid w:val="008D0F76"/>
    <w:rsid w:val="008D1796"/>
    <w:rsid w:val="008E2670"/>
    <w:rsid w:val="008E2A3A"/>
    <w:rsid w:val="008E5587"/>
    <w:rsid w:val="008F0104"/>
    <w:rsid w:val="00920100"/>
    <w:rsid w:val="009211C3"/>
    <w:rsid w:val="00932111"/>
    <w:rsid w:val="009452AA"/>
    <w:rsid w:val="0094616C"/>
    <w:rsid w:val="00951551"/>
    <w:rsid w:val="0096224B"/>
    <w:rsid w:val="00980DA2"/>
    <w:rsid w:val="009827FF"/>
    <w:rsid w:val="00992652"/>
    <w:rsid w:val="009B5675"/>
    <w:rsid w:val="009D046F"/>
    <w:rsid w:val="009D784E"/>
    <w:rsid w:val="00A20333"/>
    <w:rsid w:val="00A204E0"/>
    <w:rsid w:val="00A61B97"/>
    <w:rsid w:val="00A77EF3"/>
    <w:rsid w:val="00A90857"/>
    <w:rsid w:val="00A916CB"/>
    <w:rsid w:val="00A93A30"/>
    <w:rsid w:val="00AB5BCE"/>
    <w:rsid w:val="00AF350F"/>
    <w:rsid w:val="00B015EC"/>
    <w:rsid w:val="00B27FFC"/>
    <w:rsid w:val="00B64C64"/>
    <w:rsid w:val="00B6522E"/>
    <w:rsid w:val="00B817C3"/>
    <w:rsid w:val="00B90217"/>
    <w:rsid w:val="00B968A6"/>
    <w:rsid w:val="00BA5F2A"/>
    <w:rsid w:val="00BD1D1F"/>
    <w:rsid w:val="00BF6E5B"/>
    <w:rsid w:val="00C061F9"/>
    <w:rsid w:val="00C1003B"/>
    <w:rsid w:val="00C26EAB"/>
    <w:rsid w:val="00C503DC"/>
    <w:rsid w:val="00C51469"/>
    <w:rsid w:val="00C52944"/>
    <w:rsid w:val="00C65DC5"/>
    <w:rsid w:val="00C66414"/>
    <w:rsid w:val="00C85195"/>
    <w:rsid w:val="00CA5EA1"/>
    <w:rsid w:val="00CB4CD9"/>
    <w:rsid w:val="00CB5309"/>
    <w:rsid w:val="00CC3E0C"/>
    <w:rsid w:val="00D06EA2"/>
    <w:rsid w:val="00D372E7"/>
    <w:rsid w:val="00D41952"/>
    <w:rsid w:val="00D616C2"/>
    <w:rsid w:val="00D755B9"/>
    <w:rsid w:val="00D84E98"/>
    <w:rsid w:val="00D91EA6"/>
    <w:rsid w:val="00D96F8B"/>
    <w:rsid w:val="00DB1A60"/>
    <w:rsid w:val="00DD2628"/>
    <w:rsid w:val="00DF64DF"/>
    <w:rsid w:val="00E029E3"/>
    <w:rsid w:val="00E041CC"/>
    <w:rsid w:val="00E1032A"/>
    <w:rsid w:val="00E52000"/>
    <w:rsid w:val="00E6519F"/>
    <w:rsid w:val="00E71CD6"/>
    <w:rsid w:val="00E76C94"/>
    <w:rsid w:val="00E82955"/>
    <w:rsid w:val="00E8633F"/>
    <w:rsid w:val="00E925DB"/>
    <w:rsid w:val="00EA5316"/>
    <w:rsid w:val="00ED0C9B"/>
    <w:rsid w:val="00ED5E58"/>
    <w:rsid w:val="00EE1E83"/>
    <w:rsid w:val="00EE5A0D"/>
    <w:rsid w:val="00EF1D14"/>
    <w:rsid w:val="00F07018"/>
    <w:rsid w:val="00F07C01"/>
    <w:rsid w:val="00F121F1"/>
    <w:rsid w:val="00F25319"/>
    <w:rsid w:val="00F809D7"/>
    <w:rsid w:val="00F80E99"/>
    <w:rsid w:val="00F86BAA"/>
    <w:rsid w:val="00FA0D5B"/>
    <w:rsid w:val="00FB3A69"/>
    <w:rsid w:val="00FB3E5F"/>
    <w:rsid w:val="00FD0281"/>
    <w:rsid w:val="00FD7F40"/>
    <w:rsid w:val="00FF4CFF"/>
    <w:rsid w:val="020014B7"/>
    <w:rsid w:val="05F0320F"/>
    <w:rsid w:val="07252D28"/>
    <w:rsid w:val="083C7D3D"/>
    <w:rsid w:val="09E33944"/>
    <w:rsid w:val="0E3270A9"/>
    <w:rsid w:val="11AC3201"/>
    <w:rsid w:val="19BA74DF"/>
    <w:rsid w:val="1D5E14EC"/>
    <w:rsid w:val="1EE57BA9"/>
    <w:rsid w:val="21450107"/>
    <w:rsid w:val="24824C28"/>
    <w:rsid w:val="25933A03"/>
    <w:rsid w:val="29387D47"/>
    <w:rsid w:val="366A675A"/>
    <w:rsid w:val="384C4964"/>
    <w:rsid w:val="3C81149C"/>
    <w:rsid w:val="4335091B"/>
    <w:rsid w:val="43816479"/>
    <w:rsid w:val="47766EB2"/>
    <w:rsid w:val="4BFF16AD"/>
    <w:rsid w:val="4C925FB9"/>
    <w:rsid w:val="50D33E8A"/>
    <w:rsid w:val="51C22A1A"/>
    <w:rsid w:val="542C524C"/>
    <w:rsid w:val="58690D6C"/>
    <w:rsid w:val="59F37211"/>
    <w:rsid w:val="5AD642AE"/>
    <w:rsid w:val="5B367913"/>
    <w:rsid w:val="5C345E10"/>
    <w:rsid w:val="5EBB5D82"/>
    <w:rsid w:val="5EDD61AF"/>
    <w:rsid w:val="5F843B24"/>
    <w:rsid w:val="667B7FFB"/>
    <w:rsid w:val="68E934F8"/>
    <w:rsid w:val="6B064369"/>
    <w:rsid w:val="7A4408C7"/>
    <w:rsid w:val="7E374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autoRedefine/>
    <w:qFormat/>
    <w:uiPriority w:val="22"/>
    <w:rPr>
      <w:b/>
      <w:bCs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character" w:customStyle="1" w:styleId="9">
    <w:name w:val="页脚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10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11">
    <w:name w:val="help11"/>
    <w:basedOn w:val="6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1858</Words>
  <Characters>2083</Characters>
  <Lines>15</Lines>
  <Paragraphs>4</Paragraphs>
  <TotalTime>324</TotalTime>
  <ScaleCrop>false</ScaleCrop>
  <LinksUpToDate>false</LinksUpToDate>
  <CharactersWithSpaces>2083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2023-06-14T08:20:00Z</dcterms:created>
  <dc:creator>微软用户</dc:creator>
  <cp:lastModifiedBy>潘国力</cp:lastModifiedBy>
  <cp:lastPrinted>2021-10-09T06:33:00Z</cp:lastPrinted>
  <dcterms:modified xsi:type="dcterms:W3CDTF">2025-10-31T01:07:56Z</dcterms:modified>
  <dc:title>合同编号：0901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5F0348A926ED487C911BB901ECD04342</vt:lpwstr>
  </property>
  <property fmtid="{D5CDD505-2E9C-101B-9397-08002B2CF9AE}" pid="4" name="KSOTemplateDocerSaveRecord">
    <vt:lpwstr>eyJoZGlkIjoiNGEyNjAyZjE5MTUyZWE4MDBlNDhiNGYzNGYwMDUxNWMiLCJ1c2VySWQiOiI0ODA2MDQyODIifQ==</vt:lpwstr>
  </property>
</Properties>
</file>