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579" w:lineRule="auto"/>
        <w:jc w:val="center"/>
      </w:pPr>
      <w:r>
        <w:rPr>
          <w:rFonts w:hint="eastAsia"/>
        </w:rPr>
        <w:t>农</w:t>
      </w:r>
      <w:r>
        <w:t xml:space="preserve"> </w:t>
      </w:r>
      <w:r>
        <w:rPr>
          <w:rFonts w:hint="eastAsia"/>
        </w:rPr>
        <w:t>副</w:t>
      </w:r>
      <w:r>
        <w:t xml:space="preserve"> </w:t>
      </w:r>
      <w:r>
        <w:rPr>
          <w:rFonts w:hint="eastAsia"/>
        </w:rPr>
        <w:t>产</w:t>
      </w:r>
      <w:r>
        <w:t xml:space="preserve"> </w:t>
      </w:r>
      <w:r>
        <w:rPr>
          <w:rFonts w:hint="eastAsia"/>
        </w:rPr>
        <w:t>品</w:t>
      </w:r>
      <w:r>
        <w:t xml:space="preserve"> </w:t>
      </w:r>
      <w:r>
        <w:rPr>
          <w:rFonts w:hint="eastAsia"/>
        </w:rPr>
        <w:t>购</w:t>
      </w:r>
      <w:r>
        <w:t xml:space="preserve"> </w:t>
      </w:r>
      <w:r>
        <w:rPr>
          <w:rFonts w:hint="eastAsia"/>
        </w:rPr>
        <w:t>销</w:t>
      </w:r>
      <w:r>
        <w:t xml:space="preserve"> </w:t>
      </w:r>
      <w:r>
        <w:rPr>
          <w:rFonts w:hint="eastAsia"/>
        </w:rPr>
        <w:t>合</w:t>
      </w:r>
      <w:r>
        <w:t xml:space="preserve"> </w:t>
      </w:r>
      <w:r>
        <w:rPr>
          <w:rFonts w:hint="eastAsia"/>
        </w:rPr>
        <w:t>同</w:t>
      </w:r>
    </w:p>
    <w:p>
      <w:pPr>
        <w:tabs>
          <w:tab w:val="left" w:pos="5040"/>
        </w:tabs>
        <w:spacing w:line="400" w:lineRule="exact"/>
        <w:rPr>
          <w:rFonts w:hint="default" w:eastAsia="宋体"/>
          <w:sz w:val="24"/>
          <w:u w:val="single"/>
          <w:lang w:val="en-US" w:eastAsia="zh-CN"/>
        </w:rPr>
      </w:pPr>
      <w:r>
        <w:rPr>
          <w:rFonts w:hint="eastAsia" w:ascii="黑体" w:eastAsia="黑体"/>
          <w:sz w:val="30"/>
          <w:szCs w:val="30"/>
          <w:lang w:val="en-US" w:eastAsia="zh-CN"/>
        </w:rPr>
        <w:t>甲方（供方）</w:t>
      </w:r>
      <w:r>
        <w:rPr>
          <w:rFonts w:ascii="黑体" w:eastAsia="黑体"/>
          <w:sz w:val="30"/>
          <w:szCs w:val="30"/>
        </w:rPr>
        <w:t>:</w:t>
      </w:r>
      <w:r>
        <w:rPr>
          <w:rFonts w:hint="eastAsia" w:ascii="黑体" w:eastAsia="黑体"/>
          <w:sz w:val="30"/>
          <w:szCs w:val="30"/>
          <w:u w:val="single"/>
        </w:rPr>
        <w:t>海宁市粮食购销有限公司</w:t>
      </w:r>
      <w:r>
        <w:rPr>
          <w:sz w:val="28"/>
          <w:szCs w:val="28"/>
        </w:rPr>
        <w:tab/>
      </w:r>
      <w:r>
        <w:rPr>
          <w:sz w:val="28"/>
          <w:szCs w:val="28"/>
        </w:rPr>
        <w:tab/>
      </w:r>
      <w:r>
        <w:rPr>
          <w:sz w:val="28"/>
          <w:szCs w:val="28"/>
        </w:rPr>
        <w:tab/>
      </w:r>
      <w:r>
        <w:rPr>
          <w:rFonts w:hint="eastAsia"/>
          <w:sz w:val="24"/>
        </w:rPr>
        <w:t>合同编号：</w:t>
      </w:r>
      <w:r>
        <w:rPr>
          <w:rFonts w:hint="eastAsia"/>
          <w:sz w:val="24"/>
          <w:u w:val="single"/>
        </w:rPr>
        <w:t>202</w:t>
      </w:r>
      <w:r>
        <w:rPr>
          <w:rFonts w:hint="eastAsia"/>
          <w:sz w:val="24"/>
          <w:u w:val="single"/>
          <w:lang w:val="en-US" w:eastAsia="zh-CN"/>
        </w:rPr>
        <w:t>5</w:t>
      </w:r>
      <w:r>
        <w:rPr>
          <w:rFonts w:hint="eastAsia"/>
          <w:sz w:val="24"/>
          <w:u w:val="single"/>
        </w:rPr>
        <w:t>-</w:t>
      </w:r>
    </w:p>
    <w:p>
      <w:pPr>
        <w:tabs>
          <w:tab w:val="left" w:pos="5040"/>
        </w:tabs>
        <w:spacing w:line="400" w:lineRule="exact"/>
        <w:rPr>
          <w:u w:val="single"/>
        </w:rPr>
      </w:pPr>
      <w:r>
        <w:rPr>
          <w:rFonts w:hint="eastAsia" w:ascii="黑体" w:eastAsia="黑体"/>
          <w:sz w:val="30"/>
          <w:szCs w:val="30"/>
          <w:lang w:val="en-US" w:eastAsia="zh-CN"/>
        </w:rPr>
        <w:t>乙方（需方）</w:t>
      </w:r>
      <w:r>
        <w:rPr>
          <w:rFonts w:ascii="黑体" w:eastAsia="黑体"/>
          <w:sz w:val="30"/>
          <w:szCs w:val="30"/>
        </w:rPr>
        <w:t>:</w:t>
      </w:r>
      <w:r>
        <w:rPr>
          <w:rFonts w:hint="eastAsia" w:ascii="黑体" w:eastAsia="黑体"/>
          <w:sz w:val="30"/>
          <w:szCs w:val="30"/>
          <w:u w:val="single"/>
          <w:lang w:val="en-US" w:eastAsia="zh-CN"/>
        </w:rPr>
        <w:t>xxxxxxxxx</w:t>
      </w:r>
      <w:r>
        <w:rPr>
          <w:rFonts w:hint="eastAsia"/>
          <w:sz w:val="18"/>
          <w:szCs w:val="18"/>
          <w:lang w:val="en-US" w:eastAsia="zh-CN"/>
        </w:rPr>
        <w:t xml:space="preserve">        </w:t>
      </w:r>
      <w:r>
        <w:rPr>
          <w:sz w:val="18"/>
          <w:szCs w:val="18"/>
        </w:rPr>
        <w:tab/>
      </w:r>
      <w:r>
        <w:rPr>
          <w:rFonts w:hint="eastAsia"/>
          <w:sz w:val="18"/>
          <w:szCs w:val="18"/>
          <w:lang w:val="en-US" w:eastAsia="zh-CN"/>
        </w:rPr>
        <w:t xml:space="preserve">            </w:t>
      </w:r>
      <w:r>
        <w:rPr>
          <w:rFonts w:hint="eastAsia"/>
          <w:sz w:val="24"/>
        </w:rPr>
        <w:t>签订地点：</w:t>
      </w:r>
      <w:r>
        <w:rPr>
          <w:sz w:val="24"/>
          <w:u w:val="single"/>
        </w:rPr>
        <w:t xml:space="preserve"> </w:t>
      </w:r>
      <w:r>
        <w:rPr>
          <w:rFonts w:hint="eastAsia"/>
          <w:sz w:val="24"/>
          <w:u w:val="single"/>
        </w:rPr>
        <w:t xml:space="preserve"> 海宁</w:t>
      </w:r>
      <w:r>
        <w:rPr>
          <w:sz w:val="24"/>
          <w:u w:val="single"/>
        </w:rPr>
        <w:t xml:space="preserve"> </w:t>
      </w:r>
    </w:p>
    <w:tbl>
      <w:tblPr>
        <w:tblStyle w:val="6"/>
        <w:tblpPr w:leftFromText="180" w:rightFromText="180" w:vertAnchor="text" w:horzAnchor="page" w:tblpXSpec="center" w:tblpY="11"/>
        <w:tblOverlap w:val="never"/>
        <w:tblW w:w="87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1"/>
        <w:gridCol w:w="1597"/>
        <w:gridCol w:w="1305"/>
        <w:gridCol w:w="960"/>
        <w:gridCol w:w="1370"/>
        <w:gridCol w:w="1150"/>
        <w:gridCol w:w="14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1" w:type="dxa"/>
          </w:tcPr>
          <w:p>
            <w:pPr>
              <w:jc w:val="center"/>
              <w:rPr>
                <w:b/>
                <w:bCs/>
                <w:szCs w:val="21"/>
              </w:rPr>
            </w:pPr>
            <w:r>
              <w:rPr>
                <w:rFonts w:hint="eastAsia"/>
                <w:b/>
                <w:bCs/>
                <w:szCs w:val="21"/>
              </w:rPr>
              <w:t>产品名称</w:t>
            </w:r>
          </w:p>
        </w:tc>
        <w:tc>
          <w:tcPr>
            <w:tcW w:w="1597" w:type="dxa"/>
          </w:tcPr>
          <w:p>
            <w:pPr>
              <w:jc w:val="left"/>
              <w:rPr>
                <w:b/>
                <w:bCs/>
                <w:szCs w:val="21"/>
              </w:rPr>
            </w:pPr>
            <w:r>
              <w:rPr>
                <w:rFonts w:hint="eastAsia"/>
                <w:b/>
                <w:bCs/>
                <w:szCs w:val="21"/>
              </w:rPr>
              <w:t>国粮浙交</w:t>
            </w:r>
            <w:r>
              <w:rPr>
                <w:rFonts w:hint="eastAsia"/>
                <w:b/>
                <w:bCs/>
                <w:szCs w:val="21"/>
                <w:lang w:val="en-US" w:eastAsia="zh-CN"/>
              </w:rPr>
              <w:t>2025</w:t>
            </w:r>
            <w:r>
              <w:rPr>
                <w:rFonts w:hint="eastAsia"/>
                <w:b/>
                <w:bCs/>
                <w:szCs w:val="21"/>
              </w:rPr>
              <w:t>第号标段</w:t>
            </w:r>
          </w:p>
        </w:tc>
        <w:tc>
          <w:tcPr>
            <w:tcW w:w="1305" w:type="dxa"/>
          </w:tcPr>
          <w:p>
            <w:pPr>
              <w:jc w:val="left"/>
              <w:rPr>
                <w:b/>
                <w:bCs/>
                <w:szCs w:val="21"/>
              </w:rPr>
            </w:pPr>
            <w:r>
              <w:rPr>
                <w:rFonts w:hint="eastAsia"/>
                <w:b/>
                <w:bCs/>
                <w:szCs w:val="21"/>
              </w:rPr>
              <w:t>库点及仓号</w:t>
            </w:r>
          </w:p>
        </w:tc>
        <w:tc>
          <w:tcPr>
            <w:tcW w:w="960" w:type="dxa"/>
          </w:tcPr>
          <w:p>
            <w:pPr>
              <w:jc w:val="left"/>
              <w:rPr>
                <w:b/>
                <w:bCs/>
                <w:szCs w:val="21"/>
              </w:rPr>
            </w:pPr>
            <w:r>
              <w:rPr>
                <w:rFonts w:hint="eastAsia"/>
                <w:b/>
                <w:bCs/>
                <w:szCs w:val="21"/>
              </w:rPr>
              <w:t>数量（吨）</w:t>
            </w:r>
          </w:p>
        </w:tc>
        <w:tc>
          <w:tcPr>
            <w:tcW w:w="1370" w:type="dxa"/>
          </w:tcPr>
          <w:p>
            <w:pPr>
              <w:jc w:val="left"/>
              <w:rPr>
                <w:b/>
                <w:bCs/>
                <w:szCs w:val="21"/>
              </w:rPr>
            </w:pPr>
            <w:r>
              <w:rPr>
                <w:rFonts w:hint="eastAsia"/>
                <w:b/>
                <w:bCs/>
                <w:szCs w:val="21"/>
              </w:rPr>
              <w:t>结算成交价（元</w:t>
            </w:r>
            <w:r>
              <w:rPr>
                <w:b/>
                <w:bCs/>
                <w:szCs w:val="21"/>
              </w:rPr>
              <w:t>/</w:t>
            </w:r>
            <w:r>
              <w:rPr>
                <w:rFonts w:hint="eastAsia"/>
                <w:b/>
                <w:bCs/>
                <w:szCs w:val="21"/>
              </w:rPr>
              <w:t>吨）</w:t>
            </w:r>
          </w:p>
        </w:tc>
        <w:tc>
          <w:tcPr>
            <w:tcW w:w="1150" w:type="dxa"/>
          </w:tcPr>
          <w:p>
            <w:pPr>
              <w:jc w:val="left"/>
              <w:rPr>
                <w:b/>
                <w:bCs/>
                <w:szCs w:val="21"/>
              </w:rPr>
            </w:pPr>
            <w:r>
              <w:rPr>
                <w:rFonts w:hint="eastAsia"/>
                <w:b/>
                <w:bCs/>
                <w:szCs w:val="21"/>
              </w:rPr>
              <w:t>结算金额（元）</w:t>
            </w:r>
          </w:p>
        </w:tc>
        <w:tc>
          <w:tcPr>
            <w:tcW w:w="1434" w:type="dxa"/>
          </w:tcPr>
          <w:p>
            <w:pPr>
              <w:jc w:val="left"/>
              <w:rPr>
                <w:b/>
                <w:bCs/>
                <w:szCs w:val="21"/>
              </w:rPr>
            </w:pPr>
            <w:r>
              <w:rPr>
                <w:rFonts w:hint="eastAsia"/>
                <w:b/>
                <w:bCs/>
                <w:szCs w:val="21"/>
              </w:rPr>
              <w:t>约定提货时间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901" w:type="dxa"/>
          </w:tcPr>
          <w:p>
            <w:pPr>
              <w:jc w:val="center"/>
              <w:rPr>
                <w:rFonts w:hint="default" w:eastAsia="宋体"/>
                <w:b/>
                <w:bCs/>
                <w:szCs w:val="21"/>
                <w:lang w:val="en-US" w:eastAsia="zh-CN"/>
              </w:rPr>
            </w:pPr>
            <w:r>
              <w:rPr>
                <w:rFonts w:hint="eastAsia"/>
                <w:b/>
                <w:bCs/>
                <w:szCs w:val="21"/>
                <w:lang w:val="en-US" w:eastAsia="zh-CN"/>
              </w:rPr>
              <w:t>2025产粳稻谷</w:t>
            </w:r>
          </w:p>
        </w:tc>
        <w:tc>
          <w:tcPr>
            <w:tcW w:w="1597" w:type="dxa"/>
          </w:tcPr>
          <w:p>
            <w:pPr>
              <w:jc w:val="center"/>
              <w:rPr>
                <w:rFonts w:hint="default" w:eastAsia="宋体"/>
                <w:b/>
                <w:bCs/>
                <w:szCs w:val="21"/>
                <w:lang w:val="en-US" w:eastAsia="zh-CN"/>
              </w:rPr>
            </w:pPr>
          </w:p>
        </w:tc>
        <w:tc>
          <w:tcPr>
            <w:tcW w:w="1305" w:type="dxa"/>
          </w:tcPr>
          <w:p>
            <w:pPr>
              <w:jc w:val="center"/>
              <w:rPr>
                <w:rFonts w:hint="default" w:eastAsia="宋体"/>
                <w:b/>
                <w:bCs/>
                <w:szCs w:val="21"/>
                <w:lang w:val="en-US" w:eastAsia="zh-CN"/>
              </w:rPr>
            </w:pPr>
          </w:p>
        </w:tc>
        <w:tc>
          <w:tcPr>
            <w:tcW w:w="960" w:type="dxa"/>
          </w:tcPr>
          <w:p>
            <w:pPr>
              <w:jc w:val="center"/>
              <w:rPr>
                <w:rFonts w:hint="default" w:eastAsia="宋体"/>
                <w:b/>
                <w:bCs/>
                <w:szCs w:val="21"/>
                <w:lang w:val="en-US" w:eastAsia="zh-CN"/>
              </w:rPr>
            </w:pPr>
          </w:p>
        </w:tc>
        <w:tc>
          <w:tcPr>
            <w:tcW w:w="1370" w:type="dxa"/>
          </w:tcPr>
          <w:p>
            <w:pPr>
              <w:jc w:val="center"/>
              <w:rPr>
                <w:rFonts w:hint="default" w:eastAsia="宋体"/>
                <w:b/>
                <w:bCs/>
                <w:szCs w:val="21"/>
                <w:lang w:val="en-US" w:eastAsia="zh-CN"/>
              </w:rPr>
            </w:pPr>
          </w:p>
        </w:tc>
        <w:tc>
          <w:tcPr>
            <w:tcW w:w="1150" w:type="dxa"/>
          </w:tcPr>
          <w:p>
            <w:pPr>
              <w:jc w:val="center"/>
              <w:rPr>
                <w:rFonts w:hint="default" w:eastAsia="宋体"/>
                <w:b/>
                <w:bCs/>
                <w:szCs w:val="21"/>
                <w:lang w:val="en-US" w:eastAsia="zh-CN"/>
              </w:rPr>
            </w:pPr>
          </w:p>
        </w:tc>
        <w:tc>
          <w:tcPr>
            <w:tcW w:w="1434" w:type="dxa"/>
          </w:tcPr>
          <w:p>
            <w:pPr>
              <w:jc w:val="left"/>
              <w:rPr>
                <w:b/>
                <w:bCs/>
                <w:szCs w:val="21"/>
              </w:rPr>
            </w:pPr>
            <w:r>
              <w:rPr>
                <w:rFonts w:hint="eastAsia"/>
                <w:b/>
                <w:szCs w:val="21"/>
                <w:u w:val="single"/>
              </w:rPr>
              <w:t>截止</w:t>
            </w:r>
            <w:r>
              <w:rPr>
                <w:rFonts w:hint="eastAsia"/>
                <w:b/>
                <w:szCs w:val="21"/>
                <w:u w:val="single"/>
                <w:lang w:val="en-US" w:eastAsia="zh-CN"/>
              </w:rPr>
              <w:t>2025</w:t>
            </w:r>
            <w:r>
              <w:rPr>
                <w:rFonts w:hint="eastAsia"/>
                <w:b/>
                <w:szCs w:val="21"/>
                <w:u w:val="single"/>
              </w:rPr>
              <w:t>年月日完成全部提货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8" w:type="dxa"/>
            <w:gridSpan w:val="2"/>
          </w:tcPr>
          <w:p>
            <w:pPr>
              <w:jc w:val="center"/>
              <w:rPr>
                <w:b/>
                <w:bCs/>
                <w:szCs w:val="21"/>
              </w:rPr>
            </w:pPr>
            <w:r>
              <w:rPr>
                <w:rFonts w:hint="eastAsia"/>
                <w:b/>
                <w:bCs/>
                <w:szCs w:val="21"/>
              </w:rPr>
              <w:t>合计</w:t>
            </w:r>
          </w:p>
        </w:tc>
        <w:tc>
          <w:tcPr>
            <w:tcW w:w="6219" w:type="dxa"/>
            <w:gridSpan w:val="5"/>
          </w:tcPr>
          <w:p>
            <w:pPr>
              <w:jc w:val="center"/>
              <w:rPr>
                <w:rFonts w:hint="default" w:eastAsia="宋体"/>
                <w:b/>
                <w:bCs/>
                <w:sz w:val="21"/>
                <w:szCs w:val="21"/>
                <w:lang w:val="en-US" w:eastAsia="zh-CN"/>
              </w:rPr>
            </w:pPr>
          </w:p>
        </w:tc>
      </w:tr>
    </w:tbl>
    <w:p>
      <w:pPr>
        <w:adjustRightInd w:val="0"/>
        <w:spacing w:line="320" w:lineRule="exact"/>
        <w:jc w:val="left"/>
        <w:rPr>
          <w:b/>
          <w:sz w:val="24"/>
        </w:rPr>
      </w:pPr>
      <w:r>
        <w:rPr>
          <w:rFonts w:hint="eastAsia"/>
          <w:b/>
          <w:sz w:val="24"/>
        </w:rPr>
        <w:t>一．计量</w:t>
      </w:r>
      <w:r>
        <w:rPr>
          <w:b/>
          <w:sz w:val="24"/>
        </w:rPr>
        <w:t>:</w:t>
      </w:r>
      <w:r>
        <w:rPr>
          <w:rFonts w:hint="eastAsia"/>
          <w:b/>
          <w:sz w:val="24"/>
          <w:lang w:val="en-US" w:eastAsia="zh-CN"/>
        </w:rPr>
        <w:t>甲方</w:t>
      </w:r>
      <w:r>
        <w:rPr>
          <w:rFonts w:hint="eastAsia" w:ascii="宋体" w:hAnsi="宋体"/>
          <w:b/>
          <w:kern w:val="13"/>
          <w:sz w:val="24"/>
        </w:rPr>
        <w:t>出库站点全额过磅</w:t>
      </w:r>
      <w:r>
        <w:rPr>
          <w:rFonts w:ascii="宋体"/>
          <w:b/>
          <w:kern w:val="13"/>
          <w:sz w:val="24"/>
        </w:rPr>
        <w:t>,</w:t>
      </w:r>
      <w:r>
        <w:rPr>
          <w:rFonts w:hint="eastAsia" w:ascii="宋体" w:hAnsi="宋体"/>
          <w:b/>
          <w:kern w:val="13"/>
          <w:sz w:val="24"/>
          <w:lang w:val="en-US" w:eastAsia="zh-CN"/>
        </w:rPr>
        <w:t>乙方</w:t>
      </w:r>
      <w:r>
        <w:rPr>
          <w:rFonts w:hint="eastAsia" w:ascii="宋体" w:hAnsi="宋体"/>
          <w:b/>
          <w:kern w:val="13"/>
          <w:sz w:val="24"/>
        </w:rPr>
        <w:t>代表</w:t>
      </w:r>
      <w:r>
        <w:rPr>
          <w:rFonts w:hint="eastAsia" w:ascii="宋体" w:hAnsi="宋体"/>
          <w:b/>
          <w:sz w:val="24"/>
        </w:rPr>
        <w:t>驻库监磅，货物出库过磅后的数量作为双方结算的依据，货物离库后数量需方负责，</w:t>
      </w:r>
      <w:r>
        <w:rPr>
          <w:rFonts w:hint="eastAsia" w:ascii="宋体" w:hAnsi="宋体"/>
          <w:b/>
          <w:sz w:val="24"/>
          <w:lang w:val="en-US" w:eastAsia="zh-CN"/>
        </w:rPr>
        <w:t>乙方</w:t>
      </w:r>
      <w:r>
        <w:rPr>
          <w:rFonts w:hint="eastAsia" w:ascii="宋体" w:hAnsi="宋体"/>
          <w:b/>
          <w:sz w:val="24"/>
        </w:rPr>
        <w:t>无权再以任何理由对数量提出异议。最后一个提货单位足量提货完成后出现溢余，由该提货单位按其在该仓的最后一个提货标的结算成交价将溢余部分提完，并在提货前补足溢余部分货款。粮食提货出现短少，则由</w:t>
      </w:r>
      <w:r>
        <w:rPr>
          <w:rFonts w:hint="eastAsia" w:ascii="宋体" w:hAnsi="宋体"/>
          <w:b/>
          <w:sz w:val="24"/>
          <w:lang w:val="en-US" w:eastAsia="zh-CN"/>
        </w:rPr>
        <w:t>甲方</w:t>
      </w:r>
      <w:r>
        <w:rPr>
          <w:rFonts w:hint="eastAsia" w:ascii="宋体" w:hAnsi="宋体"/>
          <w:b/>
          <w:sz w:val="24"/>
        </w:rPr>
        <w:t>按该提货单位最后一个提货标的结算成交价将短少部分金额退还。</w:t>
      </w:r>
    </w:p>
    <w:p>
      <w:pPr>
        <w:tabs>
          <w:tab w:val="left" w:pos="360"/>
        </w:tabs>
        <w:adjustRightInd w:val="0"/>
        <w:spacing w:line="320" w:lineRule="exact"/>
        <w:jc w:val="left"/>
        <w:rPr>
          <w:b/>
          <w:sz w:val="24"/>
        </w:rPr>
      </w:pPr>
      <w:r>
        <w:rPr>
          <w:rFonts w:hint="eastAsia"/>
          <w:b/>
          <w:sz w:val="24"/>
        </w:rPr>
        <w:t>二．质量</w:t>
      </w:r>
      <w:r>
        <w:rPr>
          <w:b/>
          <w:sz w:val="24"/>
        </w:rPr>
        <w:t>:</w:t>
      </w:r>
      <w:r>
        <w:rPr>
          <w:rFonts w:hint="eastAsia" w:ascii="宋体" w:hAnsi="宋体" w:cs="宋体"/>
          <w:b/>
          <w:sz w:val="24"/>
        </w:rPr>
        <w:t>①</w:t>
      </w:r>
      <w:r>
        <w:rPr>
          <w:rFonts w:hint="eastAsia" w:ascii="宋体" w:hAnsi="宋体" w:cs="宋体"/>
          <w:b/>
          <w:sz w:val="24"/>
          <w:lang w:val="en-US" w:eastAsia="zh-CN"/>
        </w:rPr>
        <w:t>乙方</w:t>
      </w:r>
      <w:r>
        <w:rPr>
          <w:rFonts w:hint="eastAsia" w:ascii="宋体" w:hAnsi="宋体"/>
          <w:b/>
          <w:kern w:val="13"/>
          <w:sz w:val="24"/>
        </w:rPr>
        <w:t>参拍前已抽样确认</w:t>
      </w:r>
      <w:r>
        <w:rPr>
          <w:rFonts w:ascii="宋体" w:hAnsi="宋体"/>
          <w:b/>
          <w:kern w:val="13"/>
          <w:sz w:val="24"/>
        </w:rPr>
        <w:t>;</w:t>
      </w:r>
      <w:r>
        <w:rPr>
          <w:rFonts w:hint="eastAsia" w:ascii="宋体" w:hAnsi="宋体" w:cs="宋体"/>
          <w:b/>
          <w:kern w:val="13"/>
          <w:sz w:val="24"/>
        </w:rPr>
        <w:t>②</w:t>
      </w:r>
      <w:r>
        <w:rPr>
          <w:rFonts w:hint="eastAsia" w:ascii="宋体" w:hAnsi="宋体" w:cs="宋体"/>
          <w:b/>
          <w:kern w:val="13"/>
          <w:sz w:val="24"/>
          <w:lang w:val="en-US" w:eastAsia="zh-CN"/>
        </w:rPr>
        <w:t>甲方</w:t>
      </w:r>
      <w:r>
        <w:rPr>
          <w:rFonts w:hint="eastAsia" w:ascii="Calibri" w:hAnsi="Calibri" w:cs="Calibri"/>
          <w:b/>
          <w:kern w:val="13"/>
          <w:sz w:val="24"/>
        </w:rPr>
        <w:t>提供</w:t>
      </w:r>
      <w:r>
        <w:rPr>
          <w:rFonts w:hint="eastAsia" w:ascii="宋体" w:hAnsi="宋体"/>
          <w:b/>
          <w:kern w:val="13"/>
          <w:sz w:val="24"/>
        </w:rPr>
        <w:t>有资质的粮食质量检验机构对出库粮食进行储存品质鉴定的报告。</w:t>
      </w:r>
    </w:p>
    <w:p>
      <w:pPr>
        <w:adjustRightInd w:val="0"/>
        <w:spacing w:line="320" w:lineRule="exact"/>
        <w:jc w:val="left"/>
        <w:rPr>
          <w:rFonts w:hint="eastAsia"/>
          <w:b/>
          <w:sz w:val="24"/>
          <w:lang w:val="en-US" w:eastAsia="zh-CN"/>
        </w:rPr>
      </w:pPr>
      <w:r>
        <w:rPr>
          <w:rFonts w:hint="eastAsia"/>
          <w:b/>
          <w:sz w:val="24"/>
          <w:lang w:val="en-US" w:eastAsia="zh-CN"/>
        </w:rPr>
        <w:t>三．交(提)货方式:车（船）板交货，散粮出仓。</w:t>
      </w:r>
    </w:p>
    <w:p>
      <w:pPr>
        <w:spacing w:line="360" w:lineRule="auto"/>
        <w:rPr>
          <w:rFonts w:hint="eastAsia"/>
          <w:b/>
          <w:sz w:val="24"/>
          <w:lang w:val="en-US" w:eastAsia="zh-CN"/>
        </w:rPr>
      </w:pPr>
      <w:bookmarkStart w:id="0" w:name="_GoBack"/>
      <w:bookmarkEnd w:id="0"/>
      <w:r>
        <w:rPr>
          <w:rFonts w:hint="eastAsia"/>
          <w:b/>
          <w:sz w:val="24"/>
          <w:lang w:val="en-US" w:eastAsia="zh-CN"/>
        </w:rPr>
        <w:t>四．结算方式及期限:款到提货，2025年月日前付清货款。乙方须在约定时间内及时提货，若乙方不能在约定时间内完成提货，超过合同约定提货时间15日历天（含）内的，费用按每天0.4元/吨收取，数量按照整仓容计算；②超过合同约定提货时间15日历天的，费用按每天0.8元/吨收取，数量按照整仓容计算；</w:t>
      </w:r>
      <w:r>
        <w:rPr>
          <w:rFonts w:hint="eastAsia" w:ascii="宋体" w:hAnsi="宋体"/>
          <w:b/>
          <w:bCs/>
          <w:sz w:val="24"/>
        </w:rPr>
        <w:t>③如同一仓房由多家单位发生逾期提货，则费用由逾期提货单位均摊，数量按照整仓容计算</w:t>
      </w:r>
      <w:r>
        <w:rPr>
          <w:rFonts w:hint="eastAsia" w:ascii="宋体" w:hAnsi="宋体"/>
          <w:b/>
          <w:bCs/>
          <w:sz w:val="24"/>
          <w:lang w:eastAsia="zh-CN"/>
        </w:rPr>
        <w:t>；</w:t>
      </w:r>
      <w:r>
        <w:rPr>
          <w:rFonts w:hint="eastAsia" w:ascii="宋体" w:hAnsi="宋体"/>
          <w:b/>
          <w:bCs/>
          <w:sz w:val="24"/>
          <w:lang w:val="en-US" w:eastAsia="zh-CN"/>
        </w:rPr>
        <w:t>袁花粮食收储中心3P01号</w:t>
      </w:r>
      <w:r>
        <w:rPr>
          <w:rFonts w:hint="eastAsia"/>
          <w:b/>
          <w:sz w:val="24"/>
          <w:lang w:val="en-US" w:eastAsia="zh-CN"/>
        </w:rPr>
        <w:t>仓容为2000吨，</w:t>
      </w:r>
      <w:r>
        <w:rPr>
          <w:rFonts w:hint="eastAsia" w:ascii="宋体" w:hAnsi="宋体" w:cs="宋体"/>
          <w:b/>
          <w:color w:val="000000" w:themeColor="text1"/>
          <w:kern w:val="0"/>
          <w:sz w:val="24"/>
          <w:lang w:val="en-US" w:eastAsia="zh-CN"/>
          <w14:textFill>
            <w14:solidFill>
              <w14:schemeClr w14:val="tx1"/>
            </w14:solidFill>
          </w14:textFill>
        </w:rPr>
        <w:t>粮食储备库1P08号仓容为2800吨。</w:t>
      </w:r>
      <w:r>
        <w:rPr>
          <w:rFonts w:hint="eastAsia"/>
          <w:b/>
          <w:sz w:val="24"/>
          <w:lang w:val="en-US" w:eastAsia="zh-CN"/>
        </w:rPr>
        <w:t>超过合同约定时间21天及以上的，甲方有权终止履行合同，没收乙方未轮出标的数量相对应的交易保证金。</w:t>
      </w:r>
    </w:p>
    <w:p>
      <w:pPr>
        <w:adjustRightInd w:val="0"/>
        <w:spacing w:line="320" w:lineRule="exact"/>
        <w:jc w:val="left"/>
        <w:rPr>
          <w:b/>
          <w:sz w:val="24"/>
        </w:rPr>
      </w:pPr>
      <w:r>
        <w:rPr>
          <w:rFonts w:hint="eastAsia"/>
          <w:b/>
          <w:sz w:val="24"/>
          <w:lang w:val="en-US" w:eastAsia="zh-CN"/>
        </w:rPr>
        <w:t>五．其它约定事项:协商解决。协商不成的由甲方所在地法院管辖。</w:t>
      </w:r>
    </w:p>
    <w:p>
      <w:pPr>
        <w:adjustRightInd w:val="0"/>
        <w:spacing w:line="320" w:lineRule="exact"/>
        <w:jc w:val="left"/>
        <w:rPr>
          <w:b/>
          <w:sz w:val="24"/>
        </w:rPr>
      </w:pPr>
      <w:r>
        <w:rPr>
          <w:rFonts w:hint="eastAsia"/>
          <w:b/>
          <w:sz w:val="24"/>
          <w:lang w:eastAsia="zh-CN"/>
        </w:rPr>
        <w:t>六</w:t>
      </w:r>
      <w:r>
        <w:rPr>
          <w:rFonts w:hint="eastAsia"/>
          <w:b/>
          <w:sz w:val="24"/>
        </w:rPr>
        <w:t>．合同</w:t>
      </w:r>
      <w:r>
        <w:rPr>
          <w:rFonts w:hint="eastAsia"/>
          <w:b/>
          <w:sz w:val="24"/>
          <w:lang w:val="en-US" w:eastAsia="zh-CN"/>
        </w:rPr>
        <w:t>签订时间</w:t>
      </w:r>
      <w:r>
        <w:rPr>
          <w:b/>
          <w:sz w:val="24"/>
        </w:rPr>
        <w:t>:</w:t>
      </w:r>
      <w:r>
        <w:rPr>
          <w:rFonts w:hint="eastAsia"/>
          <w:b/>
          <w:sz w:val="24"/>
          <w:u w:val="single"/>
        </w:rPr>
        <w:t>202</w:t>
      </w:r>
      <w:r>
        <w:rPr>
          <w:rFonts w:hint="eastAsia"/>
          <w:b/>
          <w:sz w:val="24"/>
          <w:u w:val="single"/>
          <w:lang w:val="en-US" w:eastAsia="zh-CN"/>
        </w:rPr>
        <w:t>5</w:t>
      </w:r>
      <w:r>
        <w:rPr>
          <w:rFonts w:hint="eastAsia"/>
          <w:b/>
          <w:sz w:val="24"/>
          <w:u w:val="single"/>
        </w:rPr>
        <w:t>年</w:t>
      </w:r>
      <w:r>
        <w:rPr>
          <w:rFonts w:hint="eastAsia"/>
          <w:b/>
          <w:sz w:val="24"/>
          <w:u w:val="single"/>
          <w:lang w:val="en-US" w:eastAsia="zh-CN"/>
        </w:rPr>
        <w:t>月</w:t>
      </w:r>
      <w:r>
        <w:rPr>
          <w:rFonts w:hint="eastAsia"/>
          <w:b/>
          <w:sz w:val="24"/>
          <w:u w:val="single"/>
        </w:rPr>
        <w:t>日</w:t>
      </w:r>
      <w:r>
        <w:rPr>
          <w:rFonts w:hint="eastAsia"/>
          <w:b/>
          <w:sz w:val="24"/>
        </w:rPr>
        <w:t>。</w:t>
      </w:r>
    </w:p>
    <w:p>
      <w:pPr>
        <w:adjustRightInd w:val="0"/>
        <w:spacing w:line="320" w:lineRule="exact"/>
        <w:jc w:val="left"/>
        <w:rPr>
          <w:b/>
          <w:sz w:val="24"/>
        </w:rPr>
      </w:pPr>
      <w:r>
        <w:rPr>
          <w:rFonts w:hint="eastAsia"/>
          <w:b/>
          <w:sz w:val="24"/>
          <w:lang w:eastAsia="zh-CN"/>
        </w:rPr>
        <w:t>七</w:t>
      </w:r>
      <w:r>
        <w:rPr>
          <w:rFonts w:hint="eastAsia"/>
          <w:b/>
          <w:sz w:val="24"/>
        </w:rPr>
        <w:t>、</w:t>
      </w:r>
      <w:r>
        <w:rPr>
          <w:rFonts w:hint="eastAsia"/>
          <w:b/>
          <w:sz w:val="24"/>
          <w:lang w:val="en-US" w:eastAsia="zh-CN"/>
        </w:rPr>
        <w:t>乙方</w:t>
      </w:r>
      <w:r>
        <w:rPr>
          <w:rFonts w:hint="eastAsia"/>
          <w:b/>
          <w:sz w:val="24"/>
        </w:rPr>
        <w:t>授权指定</w:t>
      </w:r>
      <w:r>
        <w:rPr>
          <w:b/>
          <w:sz w:val="24"/>
          <w:u w:val="single"/>
        </w:rPr>
        <w:t xml:space="preserve">        </w:t>
      </w:r>
      <w:r>
        <w:rPr>
          <w:rFonts w:hint="eastAsia"/>
          <w:b/>
          <w:sz w:val="24"/>
        </w:rPr>
        <w:t>、</w:t>
      </w:r>
      <w:r>
        <w:rPr>
          <w:b/>
          <w:sz w:val="24"/>
          <w:u w:val="single"/>
        </w:rPr>
        <w:t xml:space="preserve">           </w:t>
      </w:r>
      <w:r>
        <w:rPr>
          <w:rFonts w:hint="eastAsia"/>
          <w:b/>
          <w:sz w:val="24"/>
        </w:rPr>
        <w:t>为履行本合同的全权经办人员，负责与</w:t>
      </w:r>
      <w:r>
        <w:rPr>
          <w:rFonts w:hint="eastAsia"/>
          <w:b/>
          <w:sz w:val="24"/>
          <w:lang w:val="en-US" w:eastAsia="zh-CN"/>
        </w:rPr>
        <w:t>甲方</w:t>
      </w:r>
      <w:r>
        <w:rPr>
          <w:rFonts w:hint="eastAsia"/>
          <w:b/>
          <w:sz w:val="24"/>
        </w:rPr>
        <w:t>履行合同的相应事宜。</w:t>
      </w:r>
    </w:p>
    <w:p>
      <w:pPr>
        <w:adjustRightInd w:val="0"/>
        <w:spacing w:line="320" w:lineRule="exact"/>
        <w:jc w:val="left"/>
        <w:rPr>
          <w:rFonts w:hint="eastAsia"/>
          <w:b/>
          <w:sz w:val="24"/>
        </w:rPr>
      </w:pPr>
      <w:r>
        <w:rPr>
          <w:rFonts w:hint="eastAsia"/>
          <w:b/>
          <w:sz w:val="24"/>
          <w:lang w:eastAsia="zh-CN"/>
        </w:rPr>
        <w:t>八</w:t>
      </w:r>
      <w:r>
        <w:rPr>
          <w:rFonts w:hint="eastAsia"/>
          <w:b/>
          <w:sz w:val="24"/>
        </w:rPr>
        <w:t>、本合同一式</w:t>
      </w:r>
      <w:r>
        <w:rPr>
          <w:rFonts w:hint="eastAsia"/>
          <w:b/>
          <w:sz w:val="24"/>
          <w:lang w:val="en-US" w:eastAsia="zh-CN"/>
        </w:rPr>
        <w:t>二</w:t>
      </w:r>
      <w:r>
        <w:rPr>
          <w:rFonts w:hint="eastAsia"/>
          <w:b/>
          <w:sz w:val="24"/>
        </w:rPr>
        <w:t>份</w:t>
      </w:r>
      <w:r>
        <w:rPr>
          <w:rFonts w:hint="eastAsia"/>
          <w:b/>
          <w:sz w:val="24"/>
          <w:lang w:eastAsia="zh-CN"/>
        </w:rPr>
        <w:t>，</w:t>
      </w:r>
      <w:r>
        <w:rPr>
          <w:rFonts w:hint="eastAsia"/>
          <w:b/>
          <w:sz w:val="24"/>
          <w:lang w:val="en-US" w:eastAsia="zh-CN"/>
        </w:rPr>
        <w:t>双方</w:t>
      </w:r>
      <w:r>
        <w:rPr>
          <w:rFonts w:hint="eastAsia"/>
          <w:b/>
          <w:sz w:val="24"/>
        </w:rPr>
        <w:t>各执</w:t>
      </w:r>
      <w:r>
        <w:rPr>
          <w:rFonts w:hint="eastAsia"/>
          <w:b/>
          <w:sz w:val="24"/>
          <w:lang w:val="en-US" w:eastAsia="zh-CN"/>
        </w:rPr>
        <w:t>一</w:t>
      </w:r>
      <w:r>
        <w:rPr>
          <w:rFonts w:hint="eastAsia"/>
          <w:b/>
          <w:sz w:val="24"/>
        </w:rPr>
        <w:t>份，经签字（盖章）后生效。</w:t>
      </w:r>
    </w:p>
    <w:tbl>
      <w:tblPr>
        <w:tblStyle w:val="6"/>
        <w:tblW w:w="88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28"/>
        <w:gridCol w:w="44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2" w:hRule="atLeast"/>
        </w:trPr>
        <w:tc>
          <w:tcPr>
            <w:tcW w:w="4428" w:type="dxa"/>
          </w:tcPr>
          <w:p>
            <w:pPr>
              <w:spacing w:line="360" w:lineRule="exact"/>
              <w:jc w:val="center"/>
              <w:rPr>
                <w:rFonts w:ascii="黑体" w:eastAsia="黑体"/>
                <w:b/>
                <w:sz w:val="24"/>
              </w:rPr>
            </w:pPr>
            <w:r>
              <w:rPr>
                <w:rFonts w:hint="eastAsia" w:ascii="黑体" w:eastAsia="黑体"/>
                <w:b/>
                <w:sz w:val="24"/>
                <w:lang w:val="en-US" w:eastAsia="zh-CN"/>
              </w:rPr>
              <w:t>甲</w:t>
            </w:r>
            <w:r>
              <w:rPr>
                <w:rFonts w:ascii="黑体" w:eastAsia="黑体"/>
                <w:b/>
                <w:sz w:val="24"/>
              </w:rPr>
              <w:t xml:space="preserve">        </w:t>
            </w:r>
            <w:r>
              <w:rPr>
                <w:rFonts w:hint="eastAsia" w:ascii="黑体" w:eastAsia="黑体"/>
                <w:b/>
                <w:sz w:val="24"/>
              </w:rPr>
              <w:t>方</w:t>
            </w:r>
          </w:p>
          <w:p>
            <w:pPr>
              <w:spacing w:line="360" w:lineRule="exact"/>
              <w:jc w:val="left"/>
              <w:rPr>
                <w:b/>
                <w:sz w:val="24"/>
              </w:rPr>
            </w:pPr>
            <w:r>
              <w:rPr>
                <w:rFonts w:hint="eastAsia"/>
                <w:b/>
                <w:sz w:val="24"/>
              </w:rPr>
              <w:t>单位名称</w:t>
            </w:r>
            <w:r>
              <w:rPr>
                <w:b/>
                <w:sz w:val="24"/>
              </w:rPr>
              <w:t>(</w:t>
            </w:r>
            <w:r>
              <w:rPr>
                <w:rFonts w:hint="eastAsia"/>
                <w:b/>
                <w:sz w:val="24"/>
              </w:rPr>
              <w:t>章</w:t>
            </w:r>
            <w:r>
              <w:rPr>
                <w:b/>
                <w:sz w:val="24"/>
              </w:rPr>
              <w:t>):</w:t>
            </w:r>
            <w:r>
              <w:rPr>
                <w:rFonts w:hint="eastAsia"/>
                <w:b/>
                <w:sz w:val="24"/>
              </w:rPr>
              <w:t>海宁市粮食购销有限公司</w:t>
            </w:r>
          </w:p>
          <w:p>
            <w:pPr>
              <w:spacing w:line="360" w:lineRule="exact"/>
              <w:jc w:val="left"/>
              <w:rPr>
                <w:b/>
                <w:sz w:val="18"/>
                <w:szCs w:val="18"/>
              </w:rPr>
            </w:pPr>
            <w:r>
              <w:rPr>
                <w:rFonts w:hint="eastAsia"/>
                <w:b/>
                <w:sz w:val="24"/>
              </w:rPr>
              <w:t>单位地址</w:t>
            </w:r>
            <w:r>
              <w:rPr>
                <w:b/>
                <w:sz w:val="24"/>
              </w:rPr>
              <w:t>:</w:t>
            </w:r>
            <w:r>
              <w:rPr>
                <w:rFonts w:hint="eastAsia" w:ascii="宋体" w:hAnsi="宋体" w:cs="宋体"/>
                <w:b/>
                <w:sz w:val="24"/>
              </w:rPr>
              <w:t xml:space="preserve">海宁市海昌经济开发区硖尖公路1号  </w:t>
            </w:r>
          </w:p>
          <w:p>
            <w:pPr>
              <w:spacing w:line="360" w:lineRule="exact"/>
              <w:jc w:val="left"/>
              <w:rPr>
                <w:b/>
                <w:sz w:val="24"/>
              </w:rPr>
            </w:pPr>
            <w:r>
              <w:rPr>
                <w:rFonts w:hint="eastAsia"/>
                <w:b/>
                <w:sz w:val="24"/>
              </w:rPr>
              <w:t>委托代理人</w:t>
            </w:r>
            <w:r>
              <w:rPr>
                <w:b/>
                <w:sz w:val="24"/>
              </w:rPr>
              <w:t xml:space="preserve">:    </w:t>
            </w:r>
          </w:p>
          <w:p>
            <w:pPr>
              <w:spacing w:line="360" w:lineRule="exact"/>
              <w:jc w:val="left"/>
              <w:rPr>
                <w:b/>
                <w:sz w:val="24"/>
              </w:rPr>
            </w:pPr>
            <w:r>
              <w:rPr>
                <w:rFonts w:hint="eastAsia"/>
                <w:b/>
                <w:sz w:val="24"/>
              </w:rPr>
              <w:t>开户银行</w:t>
            </w:r>
            <w:r>
              <w:rPr>
                <w:b/>
                <w:sz w:val="24"/>
              </w:rPr>
              <w:t>:</w:t>
            </w:r>
            <w:r>
              <w:rPr>
                <w:rFonts w:hint="eastAsia"/>
                <w:b/>
                <w:sz w:val="24"/>
              </w:rPr>
              <w:t>中国农业发展银行海宁市支行</w:t>
            </w:r>
          </w:p>
          <w:p>
            <w:pPr>
              <w:spacing w:line="360" w:lineRule="exact"/>
              <w:jc w:val="left"/>
              <w:rPr>
                <w:b/>
                <w:sz w:val="24"/>
              </w:rPr>
            </w:pPr>
            <w:r>
              <w:rPr>
                <w:rFonts w:hint="eastAsia"/>
                <w:b/>
                <w:sz w:val="24"/>
              </w:rPr>
              <w:t>帐</w:t>
            </w:r>
            <w:r>
              <w:rPr>
                <w:b/>
                <w:sz w:val="24"/>
              </w:rPr>
              <w:t xml:space="preserve">    </w:t>
            </w:r>
            <w:r>
              <w:rPr>
                <w:rFonts w:hint="eastAsia"/>
                <w:b/>
                <w:sz w:val="24"/>
              </w:rPr>
              <w:t>号</w:t>
            </w:r>
            <w:r>
              <w:rPr>
                <w:b/>
                <w:sz w:val="24"/>
              </w:rPr>
              <w:t>:  20333048100100000005541</w:t>
            </w:r>
          </w:p>
          <w:p>
            <w:pPr>
              <w:spacing w:line="360" w:lineRule="exact"/>
              <w:jc w:val="left"/>
              <w:rPr>
                <w:b/>
                <w:sz w:val="24"/>
              </w:rPr>
            </w:pPr>
            <w:r>
              <w:rPr>
                <w:rFonts w:hint="eastAsia"/>
                <w:b/>
                <w:sz w:val="24"/>
              </w:rPr>
              <w:t>电</w:t>
            </w:r>
            <w:r>
              <w:rPr>
                <w:b/>
                <w:sz w:val="24"/>
              </w:rPr>
              <w:t xml:space="preserve">    </w:t>
            </w:r>
            <w:r>
              <w:rPr>
                <w:rFonts w:hint="eastAsia"/>
                <w:b/>
                <w:sz w:val="24"/>
              </w:rPr>
              <w:t>话</w:t>
            </w:r>
            <w:r>
              <w:rPr>
                <w:b/>
                <w:sz w:val="24"/>
              </w:rPr>
              <w:t>:  0573—8729</w:t>
            </w:r>
            <w:r>
              <w:rPr>
                <w:rFonts w:hint="eastAsia"/>
                <w:b/>
                <w:sz w:val="24"/>
              </w:rPr>
              <w:t>1021</w:t>
            </w:r>
          </w:p>
        </w:tc>
        <w:tc>
          <w:tcPr>
            <w:tcW w:w="4428" w:type="dxa"/>
          </w:tcPr>
          <w:p>
            <w:pPr>
              <w:spacing w:line="360" w:lineRule="exact"/>
              <w:jc w:val="center"/>
              <w:rPr>
                <w:rFonts w:ascii="宋体" w:hAnsi="宋体" w:cs="宋体"/>
                <w:b/>
                <w:sz w:val="24"/>
              </w:rPr>
            </w:pPr>
            <w:r>
              <w:rPr>
                <w:rFonts w:hint="eastAsia" w:ascii="黑体" w:hAnsi="黑体" w:eastAsia="黑体" w:cs="黑体"/>
                <w:b/>
                <w:sz w:val="24"/>
                <w:lang w:val="en-US" w:eastAsia="zh-CN"/>
              </w:rPr>
              <w:t>乙</w:t>
            </w:r>
            <w:r>
              <w:rPr>
                <w:rFonts w:hint="eastAsia" w:ascii="黑体" w:hAnsi="黑体" w:eastAsia="黑体" w:cs="黑体"/>
                <w:b/>
                <w:sz w:val="24"/>
              </w:rPr>
              <w:t xml:space="preserve">         方</w:t>
            </w:r>
          </w:p>
          <w:p>
            <w:pPr>
              <w:spacing w:line="360" w:lineRule="exact"/>
              <w:jc w:val="left"/>
              <w:rPr>
                <w:rFonts w:hint="default" w:ascii="宋体" w:hAnsi="宋体" w:eastAsia="宋体" w:cs="宋体"/>
                <w:b/>
                <w:sz w:val="24"/>
                <w:lang w:val="en-US" w:eastAsia="zh-CN"/>
              </w:rPr>
            </w:pPr>
            <w:r>
              <w:rPr>
                <w:rFonts w:hint="eastAsia" w:ascii="宋体" w:hAnsi="宋体" w:cs="宋体"/>
                <w:b/>
                <w:sz w:val="24"/>
              </w:rPr>
              <w:t xml:space="preserve">单位名称(章): </w:t>
            </w:r>
          </w:p>
          <w:p>
            <w:pPr>
              <w:spacing w:line="360" w:lineRule="exact"/>
              <w:jc w:val="left"/>
              <w:rPr>
                <w:rFonts w:hint="eastAsia" w:ascii="宋体" w:hAnsi="宋体" w:cs="宋体"/>
                <w:b/>
                <w:sz w:val="24"/>
              </w:rPr>
            </w:pPr>
            <w:r>
              <w:rPr>
                <w:rFonts w:hint="eastAsia" w:ascii="宋体" w:hAnsi="宋体" w:cs="宋体"/>
                <w:b/>
                <w:sz w:val="24"/>
              </w:rPr>
              <w:t>单位地址:</w:t>
            </w:r>
          </w:p>
          <w:p>
            <w:pPr>
              <w:spacing w:line="360" w:lineRule="exact"/>
              <w:jc w:val="left"/>
              <w:rPr>
                <w:rFonts w:hint="eastAsia" w:ascii="宋体" w:hAnsi="宋体" w:eastAsia="宋体" w:cs="宋体"/>
                <w:b/>
                <w:sz w:val="24"/>
                <w:lang w:eastAsia="zh-CN"/>
              </w:rPr>
            </w:pPr>
            <w:r>
              <w:rPr>
                <w:rFonts w:hint="eastAsia" w:ascii="宋体" w:hAnsi="宋体" w:cs="宋体"/>
                <w:b/>
                <w:sz w:val="24"/>
              </w:rPr>
              <w:t>委托代理人</w:t>
            </w:r>
            <w:r>
              <w:rPr>
                <w:rFonts w:hint="eastAsia" w:ascii="宋体" w:hAnsi="宋体" w:cs="宋体"/>
                <w:b/>
                <w:sz w:val="24"/>
                <w:lang w:eastAsia="zh-CN"/>
              </w:rPr>
              <w:t>：</w:t>
            </w:r>
          </w:p>
          <w:p>
            <w:pPr>
              <w:spacing w:line="360" w:lineRule="exact"/>
              <w:jc w:val="left"/>
              <w:rPr>
                <w:rFonts w:hint="eastAsia"/>
              </w:rPr>
            </w:pPr>
            <w:r>
              <w:rPr>
                <w:rFonts w:hint="eastAsia" w:ascii="宋体" w:hAnsi="宋体" w:cs="宋体"/>
                <w:b/>
                <w:sz w:val="24"/>
              </w:rPr>
              <w:t>开户银行:</w:t>
            </w:r>
            <w:r>
              <w:rPr>
                <w:rFonts w:hint="eastAsia"/>
              </w:rPr>
              <w:t xml:space="preserve"> </w:t>
            </w:r>
          </w:p>
          <w:p>
            <w:pPr>
              <w:spacing w:line="360" w:lineRule="exact"/>
              <w:jc w:val="left"/>
              <w:rPr>
                <w:rFonts w:ascii="宋体" w:hAnsi="宋体" w:cs="宋体"/>
                <w:b/>
                <w:sz w:val="24"/>
              </w:rPr>
            </w:pPr>
            <w:r>
              <w:rPr>
                <w:rFonts w:hint="eastAsia" w:ascii="宋体" w:hAnsi="宋体" w:cs="宋体"/>
                <w:b/>
                <w:sz w:val="24"/>
              </w:rPr>
              <w:t>帐    号:</w:t>
            </w:r>
            <w:r>
              <w:rPr>
                <w:rFonts w:ascii="宋体" w:hAnsi="宋体" w:cs="宋体"/>
                <w:b/>
                <w:sz w:val="24"/>
              </w:rPr>
              <w:t xml:space="preserve"> </w:t>
            </w:r>
          </w:p>
          <w:p>
            <w:pPr>
              <w:spacing w:line="360" w:lineRule="exact"/>
              <w:jc w:val="left"/>
              <w:rPr>
                <w:rFonts w:hint="eastAsia" w:ascii="宋体" w:hAnsi="宋体" w:cs="宋体"/>
                <w:b/>
                <w:sz w:val="24"/>
              </w:rPr>
            </w:pPr>
            <w:r>
              <w:rPr>
                <w:rFonts w:hint="eastAsia" w:ascii="宋体" w:hAnsi="宋体" w:cs="宋体"/>
                <w:b/>
                <w:sz w:val="24"/>
              </w:rPr>
              <w:t>电    话:</w:t>
            </w:r>
            <w:r>
              <w:rPr>
                <w:rFonts w:hint="eastAsia" w:ascii="宋体" w:hAnsi="宋体" w:cs="宋体"/>
                <w:b/>
                <w:sz w:val="24"/>
                <w:lang w:val="en-US" w:eastAsia="zh-CN"/>
              </w:rPr>
              <w:t xml:space="preserve"> </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320"/>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I0NjA1MTIxMzY4YzhkZDVlYzZjMGViOTRjNjk5MTcifQ=="/>
  </w:docVars>
  <w:rsids>
    <w:rsidRoot w:val="00905824"/>
    <w:rsid w:val="000424A9"/>
    <w:rsid w:val="003E3999"/>
    <w:rsid w:val="00406053"/>
    <w:rsid w:val="005819CF"/>
    <w:rsid w:val="00642135"/>
    <w:rsid w:val="00905824"/>
    <w:rsid w:val="009E0D75"/>
    <w:rsid w:val="00A60D1E"/>
    <w:rsid w:val="00AA16A4"/>
    <w:rsid w:val="00AD4829"/>
    <w:rsid w:val="00BC29BD"/>
    <w:rsid w:val="00C434B7"/>
    <w:rsid w:val="00CC7E9F"/>
    <w:rsid w:val="00EA2F1E"/>
    <w:rsid w:val="00EB4D12"/>
    <w:rsid w:val="03C00CE6"/>
    <w:rsid w:val="05502F31"/>
    <w:rsid w:val="07C419A3"/>
    <w:rsid w:val="09A80EE5"/>
    <w:rsid w:val="0FDF0A08"/>
    <w:rsid w:val="10747019"/>
    <w:rsid w:val="109B585F"/>
    <w:rsid w:val="126C254B"/>
    <w:rsid w:val="12C81DAF"/>
    <w:rsid w:val="12E108DE"/>
    <w:rsid w:val="12E76FBE"/>
    <w:rsid w:val="13332C74"/>
    <w:rsid w:val="136E5933"/>
    <w:rsid w:val="16335848"/>
    <w:rsid w:val="16A56C2E"/>
    <w:rsid w:val="176608CC"/>
    <w:rsid w:val="18096BFD"/>
    <w:rsid w:val="1A2500A9"/>
    <w:rsid w:val="1D8040C4"/>
    <w:rsid w:val="1E862809"/>
    <w:rsid w:val="1FF72142"/>
    <w:rsid w:val="1FF80416"/>
    <w:rsid w:val="20FF1800"/>
    <w:rsid w:val="22174AAE"/>
    <w:rsid w:val="27332B64"/>
    <w:rsid w:val="276E6F72"/>
    <w:rsid w:val="28587AA6"/>
    <w:rsid w:val="2A382E55"/>
    <w:rsid w:val="2A7C7712"/>
    <w:rsid w:val="2B2755EB"/>
    <w:rsid w:val="2DAD03A8"/>
    <w:rsid w:val="2F2A6993"/>
    <w:rsid w:val="2FFD67D0"/>
    <w:rsid w:val="31B35935"/>
    <w:rsid w:val="31E60691"/>
    <w:rsid w:val="322420B2"/>
    <w:rsid w:val="326B0D5B"/>
    <w:rsid w:val="32B64127"/>
    <w:rsid w:val="332E5BDE"/>
    <w:rsid w:val="394D4428"/>
    <w:rsid w:val="3FF27120"/>
    <w:rsid w:val="40C414E8"/>
    <w:rsid w:val="41A15B62"/>
    <w:rsid w:val="431105A9"/>
    <w:rsid w:val="43D87BDF"/>
    <w:rsid w:val="44B968E2"/>
    <w:rsid w:val="44DC6FE0"/>
    <w:rsid w:val="44DE4C35"/>
    <w:rsid w:val="450A1EE1"/>
    <w:rsid w:val="45A46EBE"/>
    <w:rsid w:val="484702A8"/>
    <w:rsid w:val="491E57EC"/>
    <w:rsid w:val="4A8C594C"/>
    <w:rsid w:val="4AAA29A9"/>
    <w:rsid w:val="4C9B0D3A"/>
    <w:rsid w:val="4F470DB6"/>
    <w:rsid w:val="5133128D"/>
    <w:rsid w:val="51616AF1"/>
    <w:rsid w:val="52A44BB7"/>
    <w:rsid w:val="5325057D"/>
    <w:rsid w:val="53ED132E"/>
    <w:rsid w:val="550B61A4"/>
    <w:rsid w:val="55214557"/>
    <w:rsid w:val="555F7CB9"/>
    <w:rsid w:val="580F373D"/>
    <w:rsid w:val="58B074B8"/>
    <w:rsid w:val="58C679F0"/>
    <w:rsid w:val="5B9E7B32"/>
    <w:rsid w:val="5CAE3606"/>
    <w:rsid w:val="5CDF7435"/>
    <w:rsid w:val="61443A2F"/>
    <w:rsid w:val="61551508"/>
    <w:rsid w:val="623D440A"/>
    <w:rsid w:val="62BF048C"/>
    <w:rsid w:val="635829B1"/>
    <w:rsid w:val="660F677A"/>
    <w:rsid w:val="66140709"/>
    <w:rsid w:val="661F21B5"/>
    <w:rsid w:val="6A68162E"/>
    <w:rsid w:val="6B0659FE"/>
    <w:rsid w:val="6C0537A5"/>
    <w:rsid w:val="6CBC4FDA"/>
    <w:rsid w:val="6D055779"/>
    <w:rsid w:val="6E1A646B"/>
    <w:rsid w:val="6F4F6F4D"/>
    <w:rsid w:val="6FA11D01"/>
    <w:rsid w:val="6FE67D8A"/>
    <w:rsid w:val="751C2A33"/>
    <w:rsid w:val="76D7113D"/>
    <w:rsid w:val="795C0A85"/>
    <w:rsid w:val="7A064EE8"/>
    <w:rsid w:val="7AEC7249"/>
    <w:rsid w:val="7B42649E"/>
    <w:rsid w:val="7B542A4B"/>
    <w:rsid w:val="7C187DAF"/>
    <w:rsid w:val="7D266917"/>
    <w:rsid w:val="7D8E3124"/>
    <w:rsid w:val="7EC61ED1"/>
    <w:rsid w:val="7ECB344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
    <w:qFormat/>
    <w:uiPriority w:val="99"/>
    <w:pPr>
      <w:keepNext/>
      <w:keepLines/>
      <w:spacing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table" w:styleId="7">
    <w:name w:val="Table Grid"/>
    <w:basedOn w:val="6"/>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99"/>
    <w:rPr>
      <w:rFonts w:cs="Times New Roman"/>
      <w:b/>
    </w:rPr>
  </w:style>
  <w:style w:type="character" w:customStyle="1" w:styleId="10">
    <w:name w:val="标题 1 字符"/>
    <w:basedOn w:val="8"/>
    <w:link w:val="2"/>
    <w:qFormat/>
    <w:uiPriority w:val="9"/>
    <w:rPr>
      <w:b/>
      <w:bCs/>
      <w:kern w:val="44"/>
      <w:sz w:val="44"/>
      <w:szCs w:val="44"/>
    </w:rPr>
  </w:style>
  <w:style w:type="character" w:customStyle="1" w:styleId="11">
    <w:name w:val="页眉 字符"/>
    <w:basedOn w:val="8"/>
    <w:link w:val="4"/>
    <w:qFormat/>
    <w:uiPriority w:val="99"/>
    <w:rPr>
      <w:kern w:val="2"/>
      <w:sz w:val="18"/>
      <w:szCs w:val="18"/>
    </w:rPr>
  </w:style>
  <w:style w:type="character" w:customStyle="1" w:styleId="12">
    <w:name w:val="页脚 字符"/>
    <w:basedOn w:val="8"/>
    <w:link w:val="3"/>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179</Words>
  <Characters>1021</Characters>
  <Lines>8</Lines>
  <Paragraphs>2</Paragraphs>
  <TotalTime>2</TotalTime>
  <ScaleCrop>false</ScaleCrop>
  <LinksUpToDate>false</LinksUpToDate>
  <CharactersWithSpaces>1198</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2024-06-07T05:22:00Z</dcterms:created>
  <dc:creator>Administrator</dc:creator>
  <cp:lastModifiedBy>Administrator</cp:lastModifiedBy>
  <cp:lastPrinted>2022-09-07T00:41:00Z</cp:lastPrinted>
  <dcterms:modified xsi:type="dcterms:W3CDTF">2025-10-31T05:45:45Z</dcterms:modified>
  <dc:title>农 副 产 品 购 销 合 同</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y fmtid="{D5CDD505-2E9C-101B-9397-08002B2CF9AE}" pid="3" name="ICV">
    <vt:lpwstr>C76D807DE48C42D1B3ACE4F7068BE513</vt:lpwstr>
  </property>
</Properties>
</file>