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627F88">
      <w:pPr>
        <w:spacing w:line="360" w:lineRule="auto"/>
        <w:jc w:val="center"/>
        <w:rPr>
          <w:rFonts w:asci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浙江海宁储备粮公开竞价销售粮</w:t>
      </w:r>
      <w:bookmarkStart w:id="0" w:name="_GoBack"/>
      <w:bookmarkEnd w:id="0"/>
      <w:r>
        <w:rPr>
          <w:rFonts w:hint="eastAsia" w:ascii="宋体" w:hAnsi="宋体"/>
          <w:b/>
          <w:sz w:val="32"/>
          <w:szCs w:val="32"/>
        </w:rPr>
        <w:t>油交割细则</w:t>
      </w:r>
    </w:p>
    <w:p w14:paraId="2EC5B013">
      <w:pPr>
        <w:spacing w:line="360" w:lineRule="auto"/>
        <w:jc w:val="center"/>
        <w:rPr>
          <w:rFonts w:asci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（国粮浙交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>2025</w:t>
      </w:r>
      <w:r>
        <w:rPr>
          <w:rFonts w:hint="eastAsia" w:ascii="宋体" w:hAnsi="宋体"/>
          <w:b/>
          <w:sz w:val="32"/>
          <w:szCs w:val="32"/>
        </w:rPr>
        <w:t>第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>901</w:t>
      </w:r>
      <w:r>
        <w:rPr>
          <w:rFonts w:hint="eastAsia" w:ascii="宋体" w:hAnsi="宋体"/>
          <w:b/>
          <w:sz w:val="32"/>
          <w:szCs w:val="32"/>
        </w:rPr>
        <w:t>号）</w:t>
      </w:r>
    </w:p>
    <w:p w14:paraId="4EBD0BC9">
      <w:pPr>
        <w:spacing w:line="360" w:lineRule="auto"/>
        <w:ind w:firstLine="480" w:firstLineChars="200"/>
        <w:rPr>
          <w:rFonts w:ascii="宋体"/>
          <w:sz w:val="24"/>
        </w:rPr>
      </w:pPr>
      <w:r>
        <w:rPr>
          <w:rFonts w:hint="eastAsia" w:ascii="宋体" w:hAnsi="宋体"/>
          <w:sz w:val="24"/>
        </w:rPr>
        <w:t>一、数量、质量：</w:t>
      </w:r>
    </w:p>
    <w:p w14:paraId="4B4D714A">
      <w:pPr>
        <w:widowControl/>
        <w:spacing w:line="360" w:lineRule="auto"/>
        <w:ind w:firstLine="480" w:firstLineChars="200"/>
        <w:jc w:val="left"/>
        <w:rPr>
          <w:rFonts w:ascii="宋体" w:cs="宋体"/>
          <w:kern w:val="0"/>
          <w:sz w:val="24"/>
          <w:highlight w:val="none"/>
        </w:rPr>
      </w:pPr>
      <w:r>
        <w:rPr>
          <w:rFonts w:ascii="宋体" w:hAnsi="宋体"/>
          <w:sz w:val="24"/>
          <w:highlight w:val="none"/>
        </w:rPr>
        <w:t>1</w:t>
      </w:r>
      <w:r>
        <w:rPr>
          <w:rFonts w:hint="eastAsia" w:ascii="宋体" w:hAnsi="宋体"/>
          <w:sz w:val="24"/>
          <w:highlight w:val="none"/>
        </w:rPr>
        <w:t>、</w:t>
      </w:r>
      <w:r>
        <w:rPr>
          <w:rFonts w:hint="eastAsia" w:ascii="宋体" w:hAnsi="宋体"/>
          <w:kern w:val="0"/>
          <w:sz w:val="24"/>
          <w:highlight w:val="none"/>
        </w:rPr>
        <w:t>202</w:t>
      </w:r>
      <w:r>
        <w:rPr>
          <w:rFonts w:hint="eastAsia" w:ascii="宋体" w:hAnsi="宋体"/>
          <w:kern w:val="0"/>
          <w:sz w:val="24"/>
          <w:highlight w:val="none"/>
          <w:lang w:val="en-US" w:eastAsia="zh-CN"/>
        </w:rPr>
        <w:t>3</w:t>
      </w:r>
      <w:r>
        <w:rPr>
          <w:rFonts w:hint="eastAsia" w:ascii="宋体" w:hAnsi="宋体"/>
          <w:kern w:val="0"/>
          <w:sz w:val="24"/>
          <w:highlight w:val="none"/>
        </w:rPr>
        <w:t>年本地产</w:t>
      </w:r>
      <w:r>
        <w:rPr>
          <w:rFonts w:hint="eastAsia" w:ascii="宋体" w:hAnsi="宋体"/>
          <w:kern w:val="0"/>
          <w:sz w:val="24"/>
          <w:highlight w:val="none"/>
          <w:lang w:val="en-US" w:eastAsia="zh-CN"/>
        </w:rPr>
        <w:t>粳稻</w:t>
      </w:r>
      <w:r>
        <w:rPr>
          <w:rFonts w:hint="eastAsia" w:ascii="宋体" w:hAnsi="宋体"/>
          <w:kern w:val="0"/>
          <w:sz w:val="24"/>
          <w:highlight w:val="none"/>
        </w:rPr>
        <w:t>谷</w:t>
      </w:r>
      <w:r>
        <w:rPr>
          <w:rFonts w:hint="eastAsia" w:ascii="宋体" w:hAnsi="宋体"/>
          <w:kern w:val="0"/>
          <w:sz w:val="24"/>
          <w:highlight w:val="none"/>
          <w:lang w:val="en-US" w:eastAsia="zh-CN"/>
        </w:rPr>
        <w:t>4800</w:t>
      </w:r>
      <w:r>
        <w:rPr>
          <w:rFonts w:hint="eastAsia" w:ascii="宋体" w:hAnsi="宋体"/>
          <w:kern w:val="0"/>
          <w:sz w:val="24"/>
          <w:highlight w:val="none"/>
        </w:rPr>
        <w:t>吨,设</w:t>
      </w:r>
      <w:r>
        <w:rPr>
          <w:rFonts w:hint="eastAsia" w:ascii="宋体" w:hAnsi="宋体"/>
          <w:kern w:val="0"/>
          <w:sz w:val="24"/>
          <w:highlight w:val="none"/>
          <w:lang w:val="en-US" w:eastAsia="zh-CN"/>
        </w:rPr>
        <w:t>10</w:t>
      </w:r>
      <w:r>
        <w:rPr>
          <w:rFonts w:hint="eastAsia" w:ascii="宋体" w:hAnsi="宋体"/>
          <w:kern w:val="0"/>
          <w:sz w:val="24"/>
          <w:highlight w:val="none"/>
        </w:rPr>
        <w:t>个标段,详见交易清单。</w:t>
      </w:r>
    </w:p>
    <w:p w14:paraId="5DE4171E">
      <w:pPr>
        <w:numPr>
          <w:ilvl w:val="0"/>
          <w:numId w:val="1"/>
        </w:numPr>
        <w:adjustRightInd w:val="0"/>
        <w:snapToGrid w:val="0"/>
        <w:spacing w:line="360" w:lineRule="auto"/>
        <w:ind w:firstLine="480" w:firstLineChars="200"/>
        <w:jc w:val="left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highlight w:val="none"/>
        </w:rPr>
        <w:t>质量：粮食质量参照质检报告（</w:t>
      </w:r>
      <w:r>
        <w:rPr>
          <w:rFonts w:hint="eastAsia" w:ascii="宋体" w:hAnsi="宋体"/>
          <w:color w:val="000000"/>
          <w:sz w:val="24"/>
          <w:highlight w:val="none"/>
        </w:rPr>
        <w:t>嘉兴市粮油质量检验检测中心）</w:t>
      </w:r>
      <w:r>
        <w:rPr>
          <w:rFonts w:hint="eastAsia" w:ascii="宋体" w:hAnsi="宋体"/>
          <w:sz w:val="24"/>
          <w:highlight w:val="none"/>
        </w:rPr>
        <w:t>，</w:t>
      </w:r>
      <w:r>
        <w:rPr>
          <w:rFonts w:hint="eastAsia" w:ascii="宋体" w:hAnsi="宋体"/>
          <w:sz w:val="24"/>
        </w:rPr>
        <w:t>具体质量标准以仓库实物交货为准。</w:t>
      </w:r>
      <w:r>
        <w:rPr>
          <w:rFonts w:ascii="宋体" w:hAnsi="宋体"/>
          <w:sz w:val="24"/>
        </w:rPr>
        <w:t>本次</w:t>
      </w:r>
      <w:r>
        <w:rPr>
          <w:rFonts w:hint="eastAsia" w:ascii="宋体" w:hAnsi="宋体"/>
          <w:sz w:val="24"/>
        </w:rPr>
        <w:t>竞价销售活动</w:t>
      </w:r>
      <w:r>
        <w:rPr>
          <w:rFonts w:ascii="宋体" w:hAnsi="宋体"/>
          <w:sz w:val="24"/>
        </w:rPr>
        <w:t>是经公告期和</w:t>
      </w:r>
      <w:r>
        <w:rPr>
          <w:rFonts w:hint="eastAsia" w:ascii="宋体" w:hAnsi="宋体"/>
          <w:sz w:val="24"/>
        </w:rPr>
        <w:t>看样</w:t>
      </w:r>
      <w:r>
        <w:rPr>
          <w:rFonts w:ascii="宋体" w:hAnsi="宋体"/>
          <w:sz w:val="24"/>
        </w:rPr>
        <w:t>期后举行的，</w:t>
      </w:r>
      <w:r>
        <w:rPr>
          <w:rFonts w:hint="eastAsia" w:ascii="宋体" w:hAnsi="宋体"/>
          <w:sz w:val="24"/>
          <w:lang w:eastAsia="zh-CN"/>
        </w:rPr>
        <w:t>看样时间：</w:t>
      </w:r>
      <w:r>
        <w:rPr>
          <w:rFonts w:hint="eastAsia" w:ascii="宋体" w:hAnsi="宋体"/>
          <w:sz w:val="24"/>
          <w:lang w:val="en-US" w:eastAsia="zh-CN"/>
        </w:rPr>
        <w:t>2025年10月31日-2025年11月6日。</w:t>
      </w:r>
      <w:r>
        <w:rPr>
          <w:rFonts w:ascii="宋体" w:hAnsi="宋体"/>
          <w:sz w:val="24"/>
        </w:rPr>
        <w:t>请竞买</w:t>
      </w:r>
      <w:r>
        <w:rPr>
          <w:rFonts w:hint="eastAsia" w:ascii="宋体" w:hAnsi="宋体"/>
          <w:sz w:val="24"/>
        </w:rPr>
        <w:t>方</w:t>
      </w:r>
      <w:r>
        <w:rPr>
          <w:rFonts w:ascii="宋体" w:hAnsi="宋体"/>
          <w:sz w:val="24"/>
        </w:rPr>
        <w:t>在</w:t>
      </w:r>
      <w:r>
        <w:rPr>
          <w:rFonts w:hint="eastAsia" w:ascii="宋体" w:hAnsi="宋体"/>
          <w:sz w:val="24"/>
        </w:rPr>
        <w:t>规定看样时间内</w:t>
      </w:r>
      <w:r>
        <w:rPr>
          <w:rFonts w:ascii="宋体" w:hAnsi="宋体"/>
          <w:sz w:val="24"/>
        </w:rPr>
        <w:t>亲临</w:t>
      </w:r>
      <w:r>
        <w:rPr>
          <w:rFonts w:hint="eastAsia" w:ascii="宋体" w:hAnsi="宋体"/>
          <w:sz w:val="24"/>
        </w:rPr>
        <w:t>存储库点</w:t>
      </w:r>
      <w:r>
        <w:rPr>
          <w:rFonts w:ascii="宋体" w:hAnsi="宋体"/>
          <w:sz w:val="24"/>
        </w:rPr>
        <w:t>实地看样</w:t>
      </w:r>
      <w:r>
        <w:rPr>
          <w:rFonts w:hint="eastAsia" w:ascii="宋体" w:hAnsi="宋体"/>
          <w:sz w:val="24"/>
        </w:rPr>
        <w:t>，</w:t>
      </w:r>
      <w:r>
        <w:rPr>
          <w:rFonts w:ascii="宋体" w:hAnsi="宋体"/>
          <w:sz w:val="24"/>
        </w:rPr>
        <w:t>仔细审查</w:t>
      </w:r>
      <w:r>
        <w:rPr>
          <w:rFonts w:hint="eastAsia" w:ascii="宋体" w:hAnsi="宋体"/>
          <w:sz w:val="24"/>
        </w:rPr>
        <w:t>标的</w:t>
      </w:r>
      <w:r>
        <w:rPr>
          <w:rFonts w:ascii="宋体" w:hAnsi="宋体"/>
          <w:sz w:val="24"/>
        </w:rPr>
        <w:t>物的实际情况，未看样的竞买</w:t>
      </w:r>
      <w:r>
        <w:rPr>
          <w:rFonts w:hint="eastAsia" w:ascii="宋体" w:hAnsi="宋体"/>
          <w:sz w:val="24"/>
        </w:rPr>
        <w:t>方</w:t>
      </w:r>
      <w:r>
        <w:rPr>
          <w:rFonts w:ascii="宋体" w:hAnsi="宋体"/>
          <w:sz w:val="24"/>
        </w:rPr>
        <w:t>视为对标的实物现状的确认</w:t>
      </w:r>
      <w:r>
        <w:rPr>
          <w:rFonts w:hint="eastAsia" w:ascii="宋体" w:hAnsi="宋体"/>
          <w:sz w:val="24"/>
        </w:rPr>
        <w:t>。竞买方</w:t>
      </w:r>
      <w:r>
        <w:rPr>
          <w:rFonts w:ascii="宋体" w:hAnsi="宋体"/>
          <w:sz w:val="24"/>
        </w:rPr>
        <w:t>慎重决定竞买行为，一旦作出竞买决定，即表明已完全了解，并接受标的物的现状和一切已知及未知的瑕疵</w:t>
      </w:r>
      <w:r>
        <w:rPr>
          <w:rFonts w:hint="eastAsia" w:ascii="宋体" w:hAnsi="宋体"/>
          <w:sz w:val="24"/>
          <w:lang w:eastAsia="zh-CN"/>
        </w:rPr>
        <w:t>，竞得方不得以此为由提出额外要求。</w:t>
      </w:r>
    </w:p>
    <w:p w14:paraId="3ADD0667">
      <w:pPr>
        <w:numPr>
          <w:ilvl w:val="0"/>
          <w:numId w:val="0"/>
        </w:numPr>
        <w:adjustRightInd w:val="0"/>
        <w:snapToGrid w:val="0"/>
        <w:spacing w:line="360" w:lineRule="auto"/>
        <w:ind w:firstLine="480" w:firstLineChars="200"/>
        <w:jc w:val="left"/>
        <w:rPr>
          <w:rFonts w:hint="eastAsia"/>
          <w:b/>
          <w:color w:val="FF0000"/>
          <w:sz w:val="24"/>
        </w:rPr>
      </w:pPr>
      <w:r>
        <w:rPr>
          <w:rFonts w:hint="eastAsia" w:ascii="宋体" w:hAnsi="宋体"/>
          <w:sz w:val="24"/>
        </w:rPr>
        <w:t>二、本次粮食竞价交易的成交价</w:t>
      </w:r>
      <w:r>
        <w:rPr>
          <w:rFonts w:ascii="宋体" w:hAnsi="宋体"/>
          <w:sz w:val="24"/>
        </w:rPr>
        <w:t>:</w:t>
      </w:r>
      <w:r>
        <w:rPr>
          <w:rFonts w:hint="eastAsia"/>
          <w:b/>
          <w:color w:val="FF0000"/>
          <w:sz w:val="24"/>
        </w:rPr>
        <w:t>为散装</w:t>
      </w:r>
      <w:r>
        <w:rPr>
          <w:rFonts w:hint="eastAsia" w:ascii="宋体" w:hAnsi="宋体" w:cs="宋体"/>
          <w:b/>
          <w:color w:val="FF0000"/>
          <w:kern w:val="0"/>
          <w:sz w:val="24"/>
        </w:rPr>
        <w:t>车、船板价（详见附件清单），含税含发票。</w:t>
      </w:r>
      <w:r>
        <w:rPr>
          <w:rFonts w:hint="eastAsia" w:ascii="宋体" w:hAnsi="宋体" w:cs="宋体"/>
          <w:kern w:val="0"/>
          <w:sz w:val="24"/>
        </w:rPr>
        <w:t>如需打包，由竞得方自带包装，</w:t>
      </w:r>
      <w:r>
        <w:rPr>
          <w:rFonts w:hint="eastAsia"/>
          <w:b/>
          <w:color w:val="FF0000"/>
          <w:sz w:val="24"/>
        </w:rPr>
        <w:t>并向其收取每吨</w:t>
      </w:r>
      <w:r>
        <w:rPr>
          <w:rFonts w:hint="eastAsia"/>
          <w:b/>
          <w:color w:val="FF0000"/>
          <w:sz w:val="24"/>
          <w:lang w:val="en-US" w:eastAsia="zh-CN"/>
        </w:rPr>
        <w:t>32.34</w:t>
      </w:r>
      <w:r>
        <w:rPr>
          <w:rFonts w:hint="eastAsia"/>
          <w:b/>
          <w:color w:val="FF0000"/>
          <w:sz w:val="24"/>
        </w:rPr>
        <w:t>元的打包费用；</w:t>
      </w:r>
    </w:p>
    <w:p w14:paraId="1A2E1C3C">
      <w:pPr>
        <w:spacing w:line="360" w:lineRule="auto"/>
        <w:ind w:firstLine="480" w:firstLineChars="200"/>
        <w:rPr>
          <w:rFonts w:ascii="宋体" w:hAnsi="宋体"/>
          <w:color w:val="C00000"/>
          <w:sz w:val="24"/>
        </w:rPr>
      </w:pPr>
      <w:r>
        <w:rPr>
          <w:rFonts w:hint="eastAsia" w:ascii="宋体" w:hAnsi="宋体"/>
          <w:sz w:val="24"/>
        </w:rPr>
        <w:t>三、</w:t>
      </w:r>
      <w:r>
        <w:rPr>
          <w:rFonts w:hint="eastAsia" w:ascii="宋体" w:hAnsi="宋体" w:cs="宋体"/>
          <w:color w:val="000000"/>
          <w:kern w:val="0"/>
          <w:sz w:val="24"/>
        </w:rPr>
        <w:t>货款结算方式：</w:t>
      </w:r>
      <w:r>
        <w:rPr>
          <w:rFonts w:hint="eastAsia" w:ascii="宋体" w:hAnsi="宋体" w:cs="宋体"/>
          <w:color w:val="000000" w:themeColor="text1"/>
          <w:kern w:val="0"/>
          <w:sz w:val="24"/>
          <w:lang w:val="en-US" w:eastAsia="zh-CN"/>
        </w:rPr>
        <w:t>自行结算，</w:t>
      </w:r>
      <w:r>
        <w:rPr>
          <w:rFonts w:hint="eastAsia" w:ascii="宋体" w:hAnsi="宋体"/>
          <w:sz w:val="24"/>
        </w:rPr>
        <w:t>款到提货。</w:t>
      </w:r>
    </w:p>
    <w:p w14:paraId="2B678FDE">
      <w:pPr>
        <w:spacing w:line="360" w:lineRule="auto"/>
        <w:rPr>
          <w:rStyle w:val="8"/>
          <w:rFonts w:ascii="宋体" w:hAnsi="宋体" w:cs="宋体"/>
          <w:b w:val="0"/>
          <w:sz w:val="24"/>
        </w:rPr>
      </w:pPr>
      <w:r>
        <w:rPr>
          <w:rFonts w:hint="eastAsia" w:ascii="宋体" w:hAnsi="宋体"/>
          <w:sz w:val="24"/>
        </w:rPr>
        <w:t xml:space="preserve">  </w:t>
      </w:r>
      <w:r>
        <w:rPr>
          <w:rFonts w:hint="eastAsia" w:ascii="宋体" w:hAnsi="宋体"/>
          <w:sz w:val="24"/>
          <w:lang w:val="en-US" w:eastAsia="zh-CN"/>
        </w:rPr>
        <w:t xml:space="preserve"> </w:t>
      </w:r>
      <w:r>
        <w:rPr>
          <w:rFonts w:hint="eastAsia" w:ascii="宋体" w:hAnsi="宋体"/>
          <w:sz w:val="24"/>
        </w:rPr>
        <w:t xml:space="preserve"> 四、计量：出库站点全额过磅</w:t>
      </w:r>
      <w:r>
        <w:rPr>
          <w:rStyle w:val="8"/>
          <w:rFonts w:hint="eastAsia" w:ascii="宋体" w:hAnsi="宋体" w:cs="宋体"/>
          <w:b w:val="0"/>
          <w:sz w:val="24"/>
        </w:rPr>
        <w:t xml:space="preserve"> 。</w:t>
      </w:r>
    </w:p>
    <w:p w14:paraId="799106FE">
      <w:pPr>
        <w:spacing w:line="360" w:lineRule="auto"/>
        <w:rPr>
          <w:rFonts w:ascii="宋体" w:hAnsi="宋体"/>
          <w:color w:val="FF0000"/>
          <w:sz w:val="24"/>
        </w:rPr>
      </w:pPr>
      <w:r>
        <w:rPr>
          <w:rStyle w:val="8"/>
          <w:rFonts w:hint="eastAsia" w:ascii="宋体" w:hAnsi="宋体" w:cs="宋体"/>
          <w:b w:val="0"/>
          <w:color w:val="0D0D0D"/>
          <w:sz w:val="24"/>
        </w:rPr>
        <w:t xml:space="preserve">  </w:t>
      </w:r>
      <w:r>
        <w:rPr>
          <w:rStyle w:val="8"/>
          <w:rFonts w:hint="eastAsia" w:ascii="宋体" w:hAnsi="宋体" w:cs="宋体"/>
          <w:b w:val="0"/>
          <w:color w:val="0D0D0D"/>
          <w:sz w:val="24"/>
          <w:lang w:val="en-US" w:eastAsia="zh-CN"/>
        </w:rPr>
        <w:t xml:space="preserve"> </w:t>
      </w:r>
      <w:r>
        <w:rPr>
          <w:rStyle w:val="8"/>
          <w:rFonts w:hint="eastAsia" w:ascii="宋体" w:hAnsi="宋体" w:cs="宋体"/>
          <w:b w:val="0"/>
          <w:color w:val="0D0D0D"/>
          <w:sz w:val="24"/>
        </w:rPr>
        <w:t xml:space="preserve"> 五、</w:t>
      </w:r>
      <w:r>
        <w:rPr>
          <w:rStyle w:val="8"/>
          <w:rFonts w:hint="eastAsia" w:ascii="宋体" w:hAnsi="宋体" w:cs="宋体"/>
          <w:b w:val="0"/>
          <w:color w:val="auto"/>
          <w:sz w:val="24"/>
        </w:rPr>
        <w:t>粮食溢余与短少：</w:t>
      </w:r>
      <w:r>
        <w:rPr>
          <w:rStyle w:val="8"/>
          <w:rFonts w:hint="eastAsia" w:ascii="宋体" w:hAnsi="宋体" w:cs="宋体"/>
          <w:b/>
          <w:bCs/>
          <w:color w:val="FF0000"/>
          <w:sz w:val="24"/>
        </w:rPr>
        <w:t>该仓最后一个提货单位足量提货完成后，溢余部分由该提货单位按其在该仓的最后一个提货标的</w:t>
      </w:r>
      <w:r>
        <w:rPr>
          <w:rStyle w:val="8"/>
          <w:rFonts w:hint="eastAsia" w:ascii="宋体" w:hAnsi="宋体" w:cs="宋体"/>
          <w:b/>
          <w:bCs/>
          <w:color w:val="FF0000"/>
          <w:sz w:val="24"/>
          <w:lang w:val="en-US" w:eastAsia="zh-CN"/>
        </w:rPr>
        <w:t>竞得价</w:t>
      </w:r>
      <w:r>
        <w:rPr>
          <w:rStyle w:val="8"/>
          <w:rFonts w:hint="eastAsia" w:ascii="宋体" w:hAnsi="宋体" w:cs="宋体"/>
          <w:b/>
          <w:bCs/>
          <w:color w:val="FF0000"/>
          <w:sz w:val="24"/>
        </w:rPr>
        <w:t>将溢余部分提完，并在提货前补足溢余部分货款。</w:t>
      </w:r>
      <w:r>
        <w:rPr>
          <w:rFonts w:hint="eastAsia" w:ascii="宋体" w:hAnsi="宋体" w:cs="宋体"/>
          <w:kern w:val="0"/>
          <w:sz w:val="24"/>
        </w:rPr>
        <w:t>粮食短少：当实际发货数量少于标的数量时，最后的提货单位则按实际数量结算，退回多余部分货款。</w:t>
      </w:r>
    </w:p>
    <w:p w14:paraId="77567650">
      <w:pPr>
        <w:spacing w:line="360" w:lineRule="auto"/>
        <w:rPr>
          <w:rFonts w:ascii="宋体"/>
          <w:sz w:val="24"/>
        </w:rPr>
      </w:pPr>
      <w:r>
        <w:rPr>
          <w:rStyle w:val="8"/>
          <w:rFonts w:hint="eastAsia" w:ascii="宋体" w:hAnsi="宋体" w:cs="宋体"/>
          <w:b w:val="0"/>
          <w:color w:val="FF0000"/>
          <w:sz w:val="24"/>
        </w:rPr>
        <w:t xml:space="preserve">   </w:t>
      </w:r>
      <w:r>
        <w:rPr>
          <w:rFonts w:hint="eastAsia" w:ascii="宋体" w:hAnsi="宋体"/>
          <w:sz w:val="24"/>
        </w:rPr>
        <w:t>六、提货期限及相关事项：</w:t>
      </w:r>
    </w:p>
    <w:p w14:paraId="103CD02A">
      <w:pPr>
        <w:spacing w:line="360" w:lineRule="auto"/>
        <w:ind w:firstLine="480" w:firstLineChars="200"/>
        <w:rPr>
          <w:rFonts w:ascii="宋体" w:hAnsi="宋体"/>
          <w:sz w:val="24"/>
        </w:rPr>
      </w:pPr>
      <w:r>
        <w:rPr>
          <w:rFonts w:ascii="宋体" w:hAnsi="宋体"/>
          <w:sz w:val="24"/>
        </w:rPr>
        <w:t>1</w:t>
      </w:r>
      <w:r>
        <w:rPr>
          <w:rFonts w:hint="eastAsia" w:ascii="宋体" w:hAnsi="宋体"/>
          <w:sz w:val="24"/>
        </w:rPr>
        <w:t>、</w:t>
      </w:r>
      <w:r>
        <w:rPr>
          <w:rFonts w:hint="eastAsia" w:ascii="宋体" w:hAnsi="宋体" w:cs="宋体"/>
          <w:kern w:val="0"/>
          <w:sz w:val="24"/>
        </w:rPr>
        <w:t>工作时间：委托方每天工作时间为：</w:t>
      </w:r>
      <w:r>
        <w:rPr>
          <w:rFonts w:hint="eastAsia" w:ascii="宋体" w:hAnsi="宋体" w:cs="宋体"/>
          <w:b/>
          <w:color w:val="FF0000"/>
          <w:kern w:val="0"/>
          <w:sz w:val="24"/>
        </w:rPr>
        <w:t>8：30-16:30，</w:t>
      </w:r>
      <w:r>
        <w:rPr>
          <w:rFonts w:hint="eastAsia" w:ascii="宋体" w:hAnsi="宋体" w:cs="宋体"/>
          <w:b/>
          <w:color w:val="FF0000"/>
          <w:kern w:val="0"/>
          <w:sz w:val="24"/>
          <w:lang w:val="en-US" w:eastAsia="zh-CN"/>
        </w:rPr>
        <w:t>原则上</w:t>
      </w:r>
      <w:r>
        <w:rPr>
          <w:rFonts w:hint="eastAsia" w:ascii="宋体" w:hAnsi="宋体" w:cs="宋体"/>
          <w:b/>
          <w:color w:val="FF0000"/>
          <w:kern w:val="0"/>
          <w:sz w:val="24"/>
        </w:rPr>
        <w:t>交割期限</w:t>
      </w:r>
      <w:r>
        <w:rPr>
          <w:rFonts w:hint="eastAsia" w:ascii="宋体" w:hAnsi="宋体" w:cs="宋体"/>
          <w:b/>
          <w:color w:val="FF0000"/>
          <w:kern w:val="0"/>
          <w:sz w:val="24"/>
          <w:lang w:val="en-US" w:eastAsia="zh-CN"/>
        </w:rPr>
        <w:t>不</w:t>
      </w:r>
      <w:r>
        <w:rPr>
          <w:rFonts w:hint="eastAsia" w:ascii="宋体" w:hAnsi="宋体" w:cs="宋体"/>
          <w:b/>
          <w:color w:val="FF0000"/>
          <w:kern w:val="0"/>
          <w:sz w:val="24"/>
        </w:rPr>
        <w:t>包括</w:t>
      </w:r>
      <w:r>
        <w:rPr>
          <w:rFonts w:hint="eastAsia" w:ascii="宋体" w:hAnsi="宋体" w:cs="宋体"/>
          <w:b/>
          <w:color w:val="FF0000"/>
          <w:kern w:val="0"/>
          <w:sz w:val="24"/>
          <w:lang w:val="en-US" w:eastAsia="zh-CN"/>
        </w:rPr>
        <w:t>法定</w:t>
      </w:r>
      <w:r>
        <w:rPr>
          <w:rFonts w:hint="eastAsia" w:ascii="宋体" w:hAnsi="宋体" w:cs="宋体"/>
          <w:b/>
          <w:color w:val="FF0000"/>
          <w:kern w:val="0"/>
          <w:sz w:val="24"/>
        </w:rPr>
        <w:t>节假日。</w:t>
      </w:r>
    </w:p>
    <w:p w14:paraId="27B2DFDE">
      <w:pPr>
        <w:spacing w:line="360" w:lineRule="auto"/>
        <w:ind w:firstLine="480" w:firstLineChars="200"/>
        <w:rPr>
          <w:rFonts w:hint="default" w:ascii="宋体" w:hAnsi="宋体" w:cs="宋体"/>
          <w:b/>
          <w:color w:val="FF0000"/>
          <w:kern w:val="0"/>
          <w:sz w:val="24"/>
          <w:lang w:val="en-US" w:eastAsia="zh-CN"/>
        </w:rPr>
      </w:pPr>
      <w:r>
        <w:rPr>
          <w:rFonts w:hint="eastAsia" w:ascii="宋体" w:hAnsi="宋体"/>
          <w:sz w:val="24"/>
          <w:highlight w:val="none"/>
        </w:rPr>
        <w:t>2、提货时间：</w:t>
      </w:r>
      <w:r>
        <w:rPr>
          <w:rFonts w:hint="eastAsia" w:ascii="宋体" w:hAnsi="宋体"/>
          <w:sz w:val="24"/>
          <w:highlight w:val="none"/>
          <w:lang w:val="en-US" w:eastAsia="zh-CN"/>
        </w:rPr>
        <w:t>截止</w:t>
      </w:r>
      <w:r>
        <w:rPr>
          <w:rFonts w:hint="eastAsia" w:ascii="宋体" w:hAnsi="宋体"/>
          <w:b/>
          <w:bCs/>
          <w:color w:val="FF0000"/>
          <w:sz w:val="24"/>
          <w:highlight w:val="none"/>
          <w:lang w:val="en-US" w:eastAsia="zh-CN"/>
        </w:rPr>
        <w:t>2025年11</w:t>
      </w:r>
      <w:r>
        <w:rPr>
          <w:rFonts w:hint="eastAsia" w:ascii="宋体" w:hAnsi="宋体"/>
          <w:b/>
          <w:bCs/>
          <w:color w:val="FF0000"/>
          <w:sz w:val="24"/>
          <w:highlight w:val="none"/>
        </w:rPr>
        <w:t>月</w:t>
      </w:r>
      <w:r>
        <w:rPr>
          <w:rFonts w:hint="eastAsia" w:ascii="宋体" w:hAnsi="宋体"/>
          <w:b/>
          <w:bCs/>
          <w:color w:val="FF0000"/>
          <w:sz w:val="24"/>
          <w:highlight w:val="none"/>
          <w:lang w:val="en-US" w:eastAsia="zh-CN"/>
        </w:rPr>
        <w:t>30</w:t>
      </w:r>
      <w:r>
        <w:rPr>
          <w:rFonts w:hint="eastAsia" w:ascii="宋体" w:hAnsi="宋体"/>
          <w:b/>
          <w:bCs/>
          <w:color w:val="FF0000"/>
          <w:sz w:val="24"/>
          <w:highlight w:val="none"/>
        </w:rPr>
        <w:t>日</w:t>
      </w:r>
      <w:r>
        <w:rPr>
          <w:rFonts w:hint="eastAsia" w:ascii="宋体" w:hAnsi="宋体"/>
          <w:b/>
          <w:bCs/>
          <w:color w:val="FF0000"/>
          <w:sz w:val="24"/>
          <w:highlight w:val="none"/>
          <w:lang w:val="en-US" w:eastAsia="zh-CN"/>
        </w:rPr>
        <w:t>完成全部提货</w:t>
      </w:r>
      <w:r>
        <w:rPr>
          <w:rFonts w:hint="eastAsia" w:ascii="宋体" w:hAnsi="宋体"/>
          <w:sz w:val="24"/>
          <w:highlight w:val="none"/>
          <w:lang w:eastAsia="zh-CN"/>
        </w:rPr>
        <w:t>，</w:t>
      </w:r>
      <w:r>
        <w:rPr>
          <w:rFonts w:hint="eastAsia" w:ascii="宋体" w:hAnsi="宋体" w:cs="宋体"/>
          <w:b/>
          <w:color w:val="FF0000"/>
          <w:kern w:val="0"/>
          <w:sz w:val="24"/>
          <w:lang w:val="en-US" w:eastAsia="zh-CN"/>
        </w:rPr>
        <w:t>①超过合同约定提货时间15日历天（含）内的，费用按每天0.4元/吨收取，数量按照整仓容计算；②超过合同约定提货时间15日历天的，费用按每天0.8元/吨收取，数量按照整仓容计算；③如同一仓房由多家单位发生逾期提货，则费用由逾期提货单位均摊，数量按照整仓仓容计算。袁花粮食收储中心3P01号仓容为2000吨，粮食储备库1P08号仓容为2800吨。</w:t>
      </w:r>
    </w:p>
    <w:p w14:paraId="3654C473">
      <w:pPr>
        <w:spacing w:line="360" w:lineRule="auto"/>
        <w:ind w:firstLine="480" w:firstLineChars="200"/>
        <w:rPr>
          <w:rFonts w:hint="eastAsia" w:ascii="宋体" w:hAnsi="宋体" w:eastAsia="宋体"/>
          <w:sz w:val="24"/>
          <w:highlight w:val="none"/>
          <w:lang w:eastAsia="zh-CN"/>
        </w:rPr>
      </w:pPr>
    </w:p>
    <w:p w14:paraId="4B9D276C">
      <w:pPr>
        <w:spacing w:line="360" w:lineRule="auto"/>
        <w:rPr>
          <w:rFonts w:hint="eastAsia" w:eastAsia="宋体"/>
          <w:lang w:eastAsia="zh-CN"/>
        </w:rPr>
      </w:pPr>
      <w:r>
        <w:rPr>
          <w:rFonts w:hint="eastAsia" w:ascii="宋体" w:hAnsi="宋体"/>
          <w:sz w:val="24"/>
        </w:rPr>
        <w:t xml:space="preserve">    3、提货地点</w:t>
      </w:r>
      <w:r>
        <w:rPr>
          <w:rFonts w:ascii="宋体" w:hAnsi="宋体"/>
          <w:sz w:val="24"/>
        </w:rPr>
        <w:t>:</w:t>
      </w:r>
      <w:r>
        <w:rPr>
          <w:rFonts w:hint="eastAsia" w:ascii="宋体" w:hAnsi="宋体" w:cs="宋体"/>
          <w:kern w:val="0"/>
          <w:sz w:val="24"/>
          <w:lang w:val="en-US" w:eastAsia="zh-CN"/>
        </w:rPr>
        <w:t>粮食</w:t>
      </w:r>
      <w:r>
        <w:rPr>
          <w:rFonts w:hint="eastAsia" w:ascii="宋体" w:hAnsi="宋体" w:cs="宋体"/>
          <w:kern w:val="0"/>
          <w:sz w:val="24"/>
          <w:lang w:eastAsia="zh-CN"/>
        </w:rPr>
        <w:t>储备</w:t>
      </w:r>
      <w:r>
        <w:rPr>
          <w:rFonts w:hint="eastAsia" w:ascii="宋体" w:hAnsi="宋体" w:cs="宋体"/>
          <w:kern w:val="0"/>
          <w:sz w:val="24"/>
        </w:rPr>
        <w:t>库(海宁市经济开发区硖尖公路1号),袁花</w:t>
      </w:r>
      <w:r>
        <w:rPr>
          <w:rFonts w:hint="eastAsia" w:ascii="宋体" w:hAnsi="宋体" w:cs="宋体"/>
          <w:kern w:val="0"/>
          <w:sz w:val="24"/>
          <w:lang w:val="en-US" w:eastAsia="zh-CN"/>
        </w:rPr>
        <w:t>粮食收储中心</w:t>
      </w:r>
      <w:r>
        <w:rPr>
          <w:rFonts w:hint="eastAsia" w:ascii="宋体" w:hAnsi="宋体" w:cs="宋体"/>
          <w:kern w:val="0"/>
          <w:sz w:val="24"/>
        </w:rPr>
        <w:t>(海宁市袁花镇红新村潘红路13号)</w:t>
      </w:r>
      <w:r>
        <w:rPr>
          <w:rFonts w:hint="eastAsia" w:ascii="宋体" w:hAnsi="宋体" w:cs="宋体"/>
          <w:kern w:val="0"/>
          <w:sz w:val="24"/>
          <w:lang w:eastAsia="zh-CN"/>
        </w:rPr>
        <w:t>。</w:t>
      </w:r>
    </w:p>
    <w:p w14:paraId="14265114">
      <w:pPr>
        <w:spacing w:line="360" w:lineRule="auto"/>
        <w:ind w:firstLine="480" w:firstLineChars="200"/>
        <w:rPr>
          <w:rFonts w:hint="default" w:ascii="宋体" w:hAnsi="宋体" w:eastAsia="宋体"/>
          <w:sz w:val="24"/>
          <w:highlight w:val="yellow"/>
          <w:lang w:val="en-US" w:eastAsia="zh-CN"/>
        </w:rPr>
      </w:pPr>
      <w:r>
        <w:rPr>
          <w:rFonts w:hint="eastAsia" w:ascii="宋体" w:hAnsi="宋体"/>
          <w:sz w:val="24"/>
        </w:rPr>
        <w:t>4、提货方式：</w:t>
      </w:r>
      <w:r>
        <w:rPr>
          <w:rFonts w:hint="eastAsia" w:ascii="宋体" w:hAnsi="宋体"/>
          <w:sz w:val="24"/>
          <w:lang w:val="en-US" w:eastAsia="zh-CN"/>
        </w:rPr>
        <w:t>粮食储备库（500吨码头）和袁花粮食收储中心（</w:t>
      </w:r>
      <w:r>
        <w:rPr>
          <w:rFonts w:hint="eastAsia" w:ascii="宋体" w:hAnsi="宋体"/>
          <w:b/>
          <w:color w:val="FF0000"/>
          <w:sz w:val="24"/>
          <w:lang w:val="en-US" w:eastAsia="zh-CN"/>
        </w:rPr>
        <w:t>300吨码头</w:t>
      </w:r>
      <w:r>
        <w:rPr>
          <w:rFonts w:hint="eastAsia" w:ascii="宋体" w:hAnsi="宋体"/>
          <w:sz w:val="24"/>
          <w:lang w:val="en-US" w:eastAsia="zh-CN"/>
        </w:rPr>
        <w:t>）均为</w:t>
      </w:r>
      <w:r>
        <w:rPr>
          <w:rFonts w:hint="eastAsia" w:ascii="宋体" w:hAnsi="宋体" w:cs="宋体"/>
          <w:kern w:val="0"/>
          <w:sz w:val="24"/>
        </w:rPr>
        <w:t>车船板交货,散粮出仓。</w:t>
      </w:r>
    </w:p>
    <w:p w14:paraId="6FC5DD90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hint="default" w:ascii="宋体" w:hAnsi="宋体" w:cs="宋体"/>
          <w:kern w:val="0"/>
          <w:sz w:val="24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4"/>
        </w:rPr>
        <w:t>海宁市粮食购销有限公司联系人：</w:t>
      </w:r>
      <w:r>
        <w:rPr>
          <w:rFonts w:hint="eastAsia" w:ascii="宋体" w:hAnsi="宋体" w:cs="宋体"/>
          <w:color w:val="000000"/>
          <w:kern w:val="0"/>
          <w:sz w:val="24"/>
          <w:lang w:val="en-US" w:eastAsia="zh-CN"/>
        </w:rPr>
        <w:t>吴峥</w:t>
      </w:r>
      <w:r>
        <w:rPr>
          <w:rFonts w:ascii="宋体" w:hAnsi="宋体" w:cs="宋体"/>
          <w:kern w:val="0"/>
          <w:sz w:val="24"/>
        </w:rPr>
        <w:t>0573-8729</w:t>
      </w:r>
      <w:r>
        <w:rPr>
          <w:rFonts w:hint="eastAsia" w:ascii="宋体" w:hAnsi="宋体" w:cs="宋体"/>
          <w:kern w:val="0"/>
          <w:sz w:val="24"/>
          <w:lang w:val="en-US" w:eastAsia="zh-CN"/>
        </w:rPr>
        <w:t>1021  15726921008</w:t>
      </w:r>
    </w:p>
    <w:p w14:paraId="57CEFAEE">
      <w:pPr>
        <w:widowControl/>
        <w:numPr>
          <w:ilvl w:val="0"/>
          <w:numId w:val="2"/>
        </w:numPr>
        <w:adjustRightInd w:val="0"/>
        <w:snapToGrid w:val="0"/>
        <w:spacing w:line="360" w:lineRule="auto"/>
        <w:ind w:firstLine="360" w:firstLineChars="150"/>
        <w:jc w:val="lef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本次竞价交易粮食标段数量，按清单所标明的货位数量作为每笔竞价交易的起始数，因此库存清单作为本公告的附件，具有同等效力。</w:t>
      </w:r>
    </w:p>
    <w:p w14:paraId="51BC372C">
      <w:pPr>
        <w:widowControl/>
        <w:numPr>
          <w:ilvl w:val="0"/>
          <w:numId w:val="2"/>
        </w:numPr>
        <w:adjustRightInd w:val="0"/>
        <w:snapToGrid w:val="0"/>
        <w:spacing w:line="360" w:lineRule="auto"/>
        <w:ind w:firstLine="360" w:firstLineChars="150"/>
        <w:jc w:val="left"/>
        <w:rPr>
          <w:rFonts w:ascii="宋体"/>
          <w:sz w:val="24"/>
        </w:rPr>
      </w:pPr>
      <w:r>
        <w:rPr>
          <w:rFonts w:hint="eastAsia" w:ascii="宋体" w:hAnsi="宋体"/>
          <w:sz w:val="24"/>
        </w:rPr>
        <w:t>海宁市粮食购销有限公司提供增值税发票，竞得方支付定金、货款的单位名称必须与增值税发票的单位一致。</w:t>
      </w:r>
    </w:p>
    <w:p w14:paraId="2DA37986">
      <w:pPr>
        <w:spacing w:line="360" w:lineRule="auto"/>
        <w:ind w:firstLine="480" w:firstLineChars="200"/>
        <w:jc w:val="center"/>
        <w:rPr>
          <w:rFonts w:ascii="宋体"/>
          <w:sz w:val="24"/>
        </w:rPr>
      </w:pPr>
    </w:p>
    <w:p w14:paraId="088AA967">
      <w:pPr>
        <w:spacing w:line="360" w:lineRule="auto"/>
        <w:jc w:val="center"/>
        <w:rPr>
          <w:sz w:val="24"/>
        </w:rPr>
      </w:pPr>
      <w:r>
        <w:rPr>
          <w:rFonts w:hint="eastAsia"/>
          <w:sz w:val="24"/>
        </w:rPr>
        <w:t xml:space="preserve">                                   </w:t>
      </w:r>
    </w:p>
    <w:p w14:paraId="6BABA3C8">
      <w:pPr>
        <w:spacing w:line="360" w:lineRule="auto"/>
        <w:jc w:val="center"/>
        <w:rPr>
          <w:sz w:val="24"/>
        </w:rPr>
      </w:pPr>
    </w:p>
    <w:p w14:paraId="35AF4AD1">
      <w:pPr>
        <w:spacing w:line="360" w:lineRule="auto"/>
        <w:jc w:val="right"/>
        <w:rPr>
          <w:rFonts w:ascii="宋体" w:hAnsi="宋体"/>
          <w:sz w:val="24"/>
        </w:rPr>
      </w:pPr>
      <w:r>
        <w:rPr>
          <w:rFonts w:hint="eastAsia"/>
          <w:sz w:val="24"/>
        </w:rPr>
        <w:t xml:space="preserve">  国家粮食浙江</w:t>
      </w:r>
      <w:r>
        <w:rPr>
          <w:rFonts w:hint="eastAsia" w:ascii="宋体" w:hAnsi="宋体" w:cs="宋体"/>
          <w:kern w:val="0"/>
          <w:sz w:val="24"/>
        </w:rPr>
        <w:t>交易中心</w:t>
      </w:r>
      <w:r>
        <w:rPr>
          <w:rFonts w:hint="eastAsia" w:ascii="宋体" w:hAnsi="宋体"/>
          <w:sz w:val="24"/>
        </w:rPr>
        <w:t>嘉兴分中心</w:t>
      </w:r>
    </w:p>
    <w:p w14:paraId="26974267">
      <w:pPr>
        <w:spacing w:line="360" w:lineRule="auto"/>
        <w:jc w:val="right"/>
        <w:rPr>
          <w:rFonts w:ascii="宋体" w:cs="宋体"/>
          <w:kern w:val="0"/>
          <w:sz w:val="24"/>
        </w:rPr>
      </w:pPr>
      <w:r>
        <w:rPr>
          <w:rFonts w:hint="eastAsia"/>
          <w:sz w:val="24"/>
        </w:rPr>
        <w:t xml:space="preserve">                                    国家粮食浙江</w:t>
      </w:r>
      <w:r>
        <w:rPr>
          <w:rFonts w:hint="eastAsia" w:ascii="宋体" w:hAnsi="宋体" w:cs="宋体"/>
          <w:kern w:val="0"/>
          <w:sz w:val="24"/>
        </w:rPr>
        <w:t>交易中心</w:t>
      </w:r>
    </w:p>
    <w:p w14:paraId="412678D2">
      <w:pPr>
        <w:spacing w:line="360" w:lineRule="auto"/>
        <w:jc w:val="right"/>
        <w:rPr>
          <w:rFonts w:ascii="宋体"/>
          <w:sz w:val="24"/>
        </w:rPr>
      </w:pPr>
      <w:r>
        <w:rPr>
          <w:rFonts w:hint="eastAsia" w:ascii="宋体" w:hAnsi="宋体"/>
          <w:sz w:val="24"/>
        </w:rPr>
        <w:t xml:space="preserve">                            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二〇二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4"/>
          <w:szCs w:val="24"/>
          <w:lang w:eastAsia="zh-CN"/>
        </w:rPr>
        <w:t>五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年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  <w:t>十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月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  <w:t>三十一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日</w:t>
      </w:r>
    </w:p>
    <w:p w14:paraId="28883283">
      <w:pPr>
        <w:spacing w:line="360" w:lineRule="auto"/>
        <w:jc w:val="right"/>
        <w:rPr>
          <w:rFonts w:ascii="宋体"/>
          <w:sz w:val="24"/>
        </w:rPr>
      </w:pPr>
    </w:p>
    <w:sectPr>
      <w:headerReference r:id="rId3" w:type="default"/>
      <w:pgSz w:w="11906" w:h="16838"/>
      <w:pgMar w:top="1880" w:right="1709" w:bottom="1518" w:left="1797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B8ED16">
    <w:pPr>
      <w:pStyle w:val="4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0CDE4B"/>
    <w:multiLevelType w:val="singleLevel"/>
    <w:tmpl w:val="5B0CDE4B"/>
    <w:lvl w:ilvl="0" w:tentative="0">
      <w:start w:val="2"/>
      <w:numFmt w:val="decimal"/>
      <w:suff w:val="nothing"/>
      <w:lvlText w:val="%1、"/>
      <w:lvlJc w:val="left"/>
    </w:lvl>
  </w:abstractNum>
  <w:abstractNum w:abstractNumId="1">
    <w:nsid w:val="76342FD8"/>
    <w:multiLevelType w:val="singleLevel"/>
    <w:tmpl w:val="76342FD8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zNiYmYxNWY4NWNiNDJlYzJjNWQ3YWIzMTM2NDI3ZmMifQ=="/>
  </w:docVars>
  <w:rsids>
    <w:rsidRoot w:val="00E55BFB"/>
    <w:rsid w:val="00004944"/>
    <w:rsid w:val="0000630B"/>
    <w:rsid w:val="00012BA5"/>
    <w:rsid w:val="00014660"/>
    <w:rsid w:val="0001655F"/>
    <w:rsid w:val="000178FA"/>
    <w:rsid w:val="00020A81"/>
    <w:rsid w:val="000271CD"/>
    <w:rsid w:val="0003064B"/>
    <w:rsid w:val="00032EDD"/>
    <w:rsid w:val="00040447"/>
    <w:rsid w:val="00044FDD"/>
    <w:rsid w:val="0005301E"/>
    <w:rsid w:val="00063F0F"/>
    <w:rsid w:val="00066913"/>
    <w:rsid w:val="00076692"/>
    <w:rsid w:val="000824F8"/>
    <w:rsid w:val="00084A1A"/>
    <w:rsid w:val="00096156"/>
    <w:rsid w:val="00096801"/>
    <w:rsid w:val="00097738"/>
    <w:rsid w:val="000A4112"/>
    <w:rsid w:val="000B0425"/>
    <w:rsid w:val="000B188E"/>
    <w:rsid w:val="000C38BB"/>
    <w:rsid w:val="000D30BC"/>
    <w:rsid w:val="000D3828"/>
    <w:rsid w:val="000D51D8"/>
    <w:rsid w:val="000D5318"/>
    <w:rsid w:val="000F1A63"/>
    <w:rsid w:val="000F735D"/>
    <w:rsid w:val="0010248B"/>
    <w:rsid w:val="00122B8E"/>
    <w:rsid w:val="001439A3"/>
    <w:rsid w:val="001439E2"/>
    <w:rsid w:val="001477A0"/>
    <w:rsid w:val="0015675F"/>
    <w:rsid w:val="00160F90"/>
    <w:rsid w:val="00170CF5"/>
    <w:rsid w:val="00171AC1"/>
    <w:rsid w:val="00181285"/>
    <w:rsid w:val="001824E4"/>
    <w:rsid w:val="001832E8"/>
    <w:rsid w:val="00196050"/>
    <w:rsid w:val="00196FDD"/>
    <w:rsid w:val="001A0B52"/>
    <w:rsid w:val="001A25C4"/>
    <w:rsid w:val="001B00D0"/>
    <w:rsid w:val="001B7010"/>
    <w:rsid w:val="001C2B80"/>
    <w:rsid w:val="001D0EF0"/>
    <w:rsid w:val="001D71FE"/>
    <w:rsid w:val="001E1BDD"/>
    <w:rsid w:val="001E2193"/>
    <w:rsid w:val="001E5FE0"/>
    <w:rsid w:val="001F2182"/>
    <w:rsid w:val="001F6DDF"/>
    <w:rsid w:val="00200A7C"/>
    <w:rsid w:val="00201D98"/>
    <w:rsid w:val="002055B6"/>
    <w:rsid w:val="00206792"/>
    <w:rsid w:val="00207F9C"/>
    <w:rsid w:val="002131B9"/>
    <w:rsid w:val="002137B4"/>
    <w:rsid w:val="00225877"/>
    <w:rsid w:val="002402A1"/>
    <w:rsid w:val="002527DF"/>
    <w:rsid w:val="0027553F"/>
    <w:rsid w:val="0029366D"/>
    <w:rsid w:val="00293A91"/>
    <w:rsid w:val="002A7FD6"/>
    <w:rsid w:val="002B5981"/>
    <w:rsid w:val="002C0115"/>
    <w:rsid w:val="002C11B2"/>
    <w:rsid w:val="002C3BEA"/>
    <w:rsid w:val="002C64CA"/>
    <w:rsid w:val="002D0F47"/>
    <w:rsid w:val="002D1147"/>
    <w:rsid w:val="002D2075"/>
    <w:rsid w:val="002D7CA4"/>
    <w:rsid w:val="002F1897"/>
    <w:rsid w:val="00312438"/>
    <w:rsid w:val="003175B4"/>
    <w:rsid w:val="003229FF"/>
    <w:rsid w:val="00326A4E"/>
    <w:rsid w:val="003316DE"/>
    <w:rsid w:val="00353AAF"/>
    <w:rsid w:val="003654B5"/>
    <w:rsid w:val="00372CE6"/>
    <w:rsid w:val="003806EF"/>
    <w:rsid w:val="00382455"/>
    <w:rsid w:val="003842AE"/>
    <w:rsid w:val="00384F04"/>
    <w:rsid w:val="00392136"/>
    <w:rsid w:val="003A4E08"/>
    <w:rsid w:val="003A5166"/>
    <w:rsid w:val="003B5B9B"/>
    <w:rsid w:val="003C2177"/>
    <w:rsid w:val="003C3CED"/>
    <w:rsid w:val="003C7C4F"/>
    <w:rsid w:val="003D189A"/>
    <w:rsid w:val="003D65D7"/>
    <w:rsid w:val="003E0838"/>
    <w:rsid w:val="003E10C5"/>
    <w:rsid w:val="003E672F"/>
    <w:rsid w:val="003F2167"/>
    <w:rsid w:val="003F5767"/>
    <w:rsid w:val="003F61D6"/>
    <w:rsid w:val="00401035"/>
    <w:rsid w:val="00404FB5"/>
    <w:rsid w:val="004163D7"/>
    <w:rsid w:val="00422282"/>
    <w:rsid w:val="00423596"/>
    <w:rsid w:val="00432C5F"/>
    <w:rsid w:val="00442777"/>
    <w:rsid w:val="00445906"/>
    <w:rsid w:val="00446024"/>
    <w:rsid w:val="00446B7F"/>
    <w:rsid w:val="004516AC"/>
    <w:rsid w:val="004558CA"/>
    <w:rsid w:val="004643A5"/>
    <w:rsid w:val="004721EF"/>
    <w:rsid w:val="004739BE"/>
    <w:rsid w:val="004809EC"/>
    <w:rsid w:val="00486A0F"/>
    <w:rsid w:val="004A3F26"/>
    <w:rsid w:val="004B6626"/>
    <w:rsid w:val="004B7B80"/>
    <w:rsid w:val="004C55D0"/>
    <w:rsid w:val="004C5E2E"/>
    <w:rsid w:val="004E1822"/>
    <w:rsid w:val="004E2028"/>
    <w:rsid w:val="004F06AE"/>
    <w:rsid w:val="004F139F"/>
    <w:rsid w:val="004F2DE2"/>
    <w:rsid w:val="00512A00"/>
    <w:rsid w:val="005251A5"/>
    <w:rsid w:val="00535D14"/>
    <w:rsid w:val="0054503F"/>
    <w:rsid w:val="00552055"/>
    <w:rsid w:val="00556193"/>
    <w:rsid w:val="0057540C"/>
    <w:rsid w:val="005766DD"/>
    <w:rsid w:val="0057707C"/>
    <w:rsid w:val="00582D60"/>
    <w:rsid w:val="005A11A8"/>
    <w:rsid w:val="005A22A9"/>
    <w:rsid w:val="005A4AD5"/>
    <w:rsid w:val="005B6933"/>
    <w:rsid w:val="005C21DC"/>
    <w:rsid w:val="005D5D84"/>
    <w:rsid w:val="005E0A94"/>
    <w:rsid w:val="005E6061"/>
    <w:rsid w:val="005E723C"/>
    <w:rsid w:val="005E7B3F"/>
    <w:rsid w:val="005F44E9"/>
    <w:rsid w:val="005F4E95"/>
    <w:rsid w:val="005F5229"/>
    <w:rsid w:val="005F5CE3"/>
    <w:rsid w:val="005F750D"/>
    <w:rsid w:val="0060148B"/>
    <w:rsid w:val="006201FA"/>
    <w:rsid w:val="00622CD4"/>
    <w:rsid w:val="006434CC"/>
    <w:rsid w:val="0065618E"/>
    <w:rsid w:val="00656BD0"/>
    <w:rsid w:val="00657140"/>
    <w:rsid w:val="006613E6"/>
    <w:rsid w:val="006755D2"/>
    <w:rsid w:val="00676331"/>
    <w:rsid w:val="00682E4D"/>
    <w:rsid w:val="0068505C"/>
    <w:rsid w:val="00697F8F"/>
    <w:rsid w:val="006A2C2C"/>
    <w:rsid w:val="006A68F9"/>
    <w:rsid w:val="006B0C37"/>
    <w:rsid w:val="006B12C0"/>
    <w:rsid w:val="006B5A73"/>
    <w:rsid w:val="006B6F0B"/>
    <w:rsid w:val="006C5EAE"/>
    <w:rsid w:val="006D446E"/>
    <w:rsid w:val="006F69B8"/>
    <w:rsid w:val="00704DC9"/>
    <w:rsid w:val="00715A1E"/>
    <w:rsid w:val="007234B2"/>
    <w:rsid w:val="00724254"/>
    <w:rsid w:val="007327B2"/>
    <w:rsid w:val="007329A4"/>
    <w:rsid w:val="007466E2"/>
    <w:rsid w:val="00750FA8"/>
    <w:rsid w:val="00756E77"/>
    <w:rsid w:val="0076336A"/>
    <w:rsid w:val="00767D18"/>
    <w:rsid w:val="0079637B"/>
    <w:rsid w:val="007A1848"/>
    <w:rsid w:val="007A20CD"/>
    <w:rsid w:val="007A4BCE"/>
    <w:rsid w:val="007A526E"/>
    <w:rsid w:val="007B2BA1"/>
    <w:rsid w:val="007B341B"/>
    <w:rsid w:val="007B3D18"/>
    <w:rsid w:val="007B47D0"/>
    <w:rsid w:val="007C125F"/>
    <w:rsid w:val="007C4681"/>
    <w:rsid w:val="007D096B"/>
    <w:rsid w:val="007D2D9E"/>
    <w:rsid w:val="007D33E4"/>
    <w:rsid w:val="007E08E0"/>
    <w:rsid w:val="007E74C7"/>
    <w:rsid w:val="00800802"/>
    <w:rsid w:val="00804829"/>
    <w:rsid w:val="00810CD3"/>
    <w:rsid w:val="00812289"/>
    <w:rsid w:val="008214D0"/>
    <w:rsid w:val="008261C7"/>
    <w:rsid w:val="00826705"/>
    <w:rsid w:val="008307D2"/>
    <w:rsid w:val="008316A0"/>
    <w:rsid w:val="008673B0"/>
    <w:rsid w:val="00873D6D"/>
    <w:rsid w:val="00882BA6"/>
    <w:rsid w:val="0088550B"/>
    <w:rsid w:val="008A3443"/>
    <w:rsid w:val="008B0489"/>
    <w:rsid w:val="008B46A2"/>
    <w:rsid w:val="008D1889"/>
    <w:rsid w:val="008D636C"/>
    <w:rsid w:val="008F09E3"/>
    <w:rsid w:val="008F2A95"/>
    <w:rsid w:val="008F6D51"/>
    <w:rsid w:val="009000D7"/>
    <w:rsid w:val="0090025D"/>
    <w:rsid w:val="009062BF"/>
    <w:rsid w:val="00907716"/>
    <w:rsid w:val="00911D0B"/>
    <w:rsid w:val="0091428F"/>
    <w:rsid w:val="0091636E"/>
    <w:rsid w:val="00925C99"/>
    <w:rsid w:val="00935EFA"/>
    <w:rsid w:val="00946EBB"/>
    <w:rsid w:val="009651EE"/>
    <w:rsid w:val="00967ED6"/>
    <w:rsid w:val="00970684"/>
    <w:rsid w:val="0097199D"/>
    <w:rsid w:val="00984EF7"/>
    <w:rsid w:val="00995236"/>
    <w:rsid w:val="009B57AE"/>
    <w:rsid w:val="009B71A3"/>
    <w:rsid w:val="009E6C26"/>
    <w:rsid w:val="009F1798"/>
    <w:rsid w:val="009F400A"/>
    <w:rsid w:val="009F5D5C"/>
    <w:rsid w:val="00A06ADE"/>
    <w:rsid w:val="00A11A24"/>
    <w:rsid w:val="00A13591"/>
    <w:rsid w:val="00A14DA3"/>
    <w:rsid w:val="00A360BA"/>
    <w:rsid w:val="00A3729E"/>
    <w:rsid w:val="00A41068"/>
    <w:rsid w:val="00A47395"/>
    <w:rsid w:val="00A52451"/>
    <w:rsid w:val="00A525BC"/>
    <w:rsid w:val="00A534AC"/>
    <w:rsid w:val="00A54C30"/>
    <w:rsid w:val="00A60A5C"/>
    <w:rsid w:val="00A64115"/>
    <w:rsid w:val="00A72333"/>
    <w:rsid w:val="00A828D1"/>
    <w:rsid w:val="00A85CC0"/>
    <w:rsid w:val="00A86276"/>
    <w:rsid w:val="00A86701"/>
    <w:rsid w:val="00A9323F"/>
    <w:rsid w:val="00AB1BA9"/>
    <w:rsid w:val="00AB2C43"/>
    <w:rsid w:val="00AC329A"/>
    <w:rsid w:val="00AD64E7"/>
    <w:rsid w:val="00AD6A4A"/>
    <w:rsid w:val="00AE7217"/>
    <w:rsid w:val="00AF1A32"/>
    <w:rsid w:val="00AF7E6E"/>
    <w:rsid w:val="00B019AD"/>
    <w:rsid w:val="00B01E8B"/>
    <w:rsid w:val="00B038AD"/>
    <w:rsid w:val="00B1691A"/>
    <w:rsid w:val="00B21067"/>
    <w:rsid w:val="00B24A32"/>
    <w:rsid w:val="00B34D09"/>
    <w:rsid w:val="00B35784"/>
    <w:rsid w:val="00B50E95"/>
    <w:rsid w:val="00B56021"/>
    <w:rsid w:val="00B624CA"/>
    <w:rsid w:val="00B64DC6"/>
    <w:rsid w:val="00B6720C"/>
    <w:rsid w:val="00B67826"/>
    <w:rsid w:val="00B72754"/>
    <w:rsid w:val="00B74DC9"/>
    <w:rsid w:val="00B9048B"/>
    <w:rsid w:val="00B951E8"/>
    <w:rsid w:val="00B9607E"/>
    <w:rsid w:val="00BA3F35"/>
    <w:rsid w:val="00BB0434"/>
    <w:rsid w:val="00BB1BD2"/>
    <w:rsid w:val="00BB4FC1"/>
    <w:rsid w:val="00BD6137"/>
    <w:rsid w:val="00BD6C0B"/>
    <w:rsid w:val="00BE089F"/>
    <w:rsid w:val="00BE15E0"/>
    <w:rsid w:val="00BE189A"/>
    <w:rsid w:val="00BE1AEF"/>
    <w:rsid w:val="00BF3AFD"/>
    <w:rsid w:val="00C02929"/>
    <w:rsid w:val="00C10424"/>
    <w:rsid w:val="00C1091E"/>
    <w:rsid w:val="00C13166"/>
    <w:rsid w:val="00C16251"/>
    <w:rsid w:val="00C254D2"/>
    <w:rsid w:val="00C325D2"/>
    <w:rsid w:val="00C41B2A"/>
    <w:rsid w:val="00C45324"/>
    <w:rsid w:val="00C46C7D"/>
    <w:rsid w:val="00C52B18"/>
    <w:rsid w:val="00C96228"/>
    <w:rsid w:val="00CA088A"/>
    <w:rsid w:val="00CA453D"/>
    <w:rsid w:val="00CA7F11"/>
    <w:rsid w:val="00CB52F1"/>
    <w:rsid w:val="00CB6621"/>
    <w:rsid w:val="00CB7589"/>
    <w:rsid w:val="00CC06D2"/>
    <w:rsid w:val="00CC1B37"/>
    <w:rsid w:val="00CC31B5"/>
    <w:rsid w:val="00CC459A"/>
    <w:rsid w:val="00CC703A"/>
    <w:rsid w:val="00CC7076"/>
    <w:rsid w:val="00CD3F9E"/>
    <w:rsid w:val="00CD4489"/>
    <w:rsid w:val="00CE636E"/>
    <w:rsid w:val="00CE6C9C"/>
    <w:rsid w:val="00CF11FF"/>
    <w:rsid w:val="00CF1F04"/>
    <w:rsid w:val="00CF5DAB"/>
    <w:rsid w:val="00D030EA"/>
    <w:rsid w:val="00D14989"/>
    <w:rsid w:val="00D14CBD"/>
    <w:rsid w:val="00D23E53"/>
    <w:rsid w:val="00D332C9"/>
    <w:rsid w:val="00D52714"/>
    <w:rsid w:val="00D55D19"/>
    <w:rsid w:val="00D55E3D"/>
    <w:rsid w:val="00D57EF1"/>
    <w:rsid w:val="00D64A76"/>
    <w:rsid w:val="00D70BD7"/>
    <w:rsid w:val="00D76681"/>
    <w:rsid w:val="00D76B59"/>
    <w:rsid w:val="00D905F1"/>
    <w:rsid w:val="00D93D61"/>
    <w:rsid w:val="00D9756C"/>
    <w:rsid w:val="00DB1954"/>
    <w:rsid w:val="00DB1FF8"/>
    <w:rsid w:val="00DB36F8"/>
    <w:rsid w:val="00DB761B"/>
    <w:rsid w:val="00DC23C0"/>
    <w:rsid w:val="00DC57BF"/>
    <w:rsid w:val="00DC7D6D"/>
    <w:rsid w:val="00DD2320"/>
    <w:rsid w:val="00DE4BC2"/>
    <w:rsid w:val="00DE6EB1"/>
    <w:rsid w:val="00DF4A5A"/>
    <w:rsid w:val="00DF76D0"/>
    <w:rsid w:val="00E017F6"/>
    <w:rsid w:val="00E0195E"/>
    <w:rsid w:val="00E1363E"/>
    <w:rsid w:val="00E16CB3"/>
    <w:rsid w:val="00E256FE"/>
    <w:rsid w:val="00E26AF0"/>
    <w:rsid w:val="00E34EC1"/>
    <w:rsid w:val="00E358C4"/>
    <w:rsid w:val="00E365EF"/>
    <w:rsid w:val="00E368DA"/>
    <w:rsid w:val="00E42D74"/>
    <w:rsid w:val="00E458C1"/>
    <w:rsid w:val="00E45A6E"/>
    <w:rsid w:val="00E464C4"/>
    <w:rsid w:val="00E5332C"/>
    <w:rsid w:val="00E53F6E"/>
    <w:rsid w:val="00E55BFB"/>
    <w:rsid w:val="00E55C7B"/>
    <w:rsid w:val="00E61DAC"/>
    <w:rsid w:val="00E725A5"/>
    <w:rsid w:val="00E8159A"/>
    <w:rsid w:val="00E82460"/>
    <w:rsid w:val="00E92A00"/>
    <w:rsid w:val="00E93627"/>
    <w:rsid w:val="00E97651"/>
    <w:rsid w:val="00EA1C8E"/>
    <w:rsid w:val="00ED3505"/>
    <w:rsid w:val="00EE07B2"/>
    <w:rsid w:val="00EE146A"/>
    <w:rsid w:val="00EE6718"/>
    <w:rsid w:val="00EE6BE3"/>
    <w:rsid w:val="00EF01A5"/>
    <w:rsid w:val="00F0281E"/>
    <w:rsid w:val="00F17313"/>
    <w:rsid w:val="00F21E25"/>
    <w:rsid w:val="00F2211A"/>
    <w:rsid w:val="00F24CA4"/>
    <w:rsid w:val="00F3073F"/>
    <w:rsid w:val="00F3522E"/>
    <w:rsid w:val="00F53235"/>
    <w:rsid w:val="00F57030"/>
    <w:rsid w:val="00F57074"/>
    <w:rsid w:val="00F64659"/>
    <w:rsid w:val="00F661D4"/>
    <w:rsid w:val="00F84BD9"/>
    <w:rsid w:val="00F90CB5"/>
    <w:rsid w:val="00FA1555"/>
    <w:rsid w:val="00FA69F7"/>
    <w:rsid w:val="00FC2DC6"/>
    <w:rsid w:val="00FD1C59"/>
    <w:rsid w:val="00FD20A6"/>
    <w:rsid w:val="00FD4EB7"/>
    <w:rsid w:val="00FD551D"/>
    <w:rsid w:val="00FD7280"/>
    <w:rsid w:val="00FE5849"/>
    <w:rsid w:val="018A6D32"/>
    <w:rsid w:val="01E855A5"/>
    <w:rsid w:val="02ED1EF7"/>
    <w:rsid w:val="04AC0B3A"/>
    <w:rsid w:val="06F755B5"/>
    <w:rsid w:val="0D914A37"/>
    <w:rsid w:val="0F9567E8"/>
    <w:rsid w:val="0FB3100F"/>
    <w:rsid w:val="1130002A"/>
    <w:rsid w:val="1212593F"/>
    <w:rsid w:val="123B51B2"/>
    <w:rsid w:val="123C0890"/>
    <w:rsid w:val="12D95E3E"/>
    <w:rsid w:val="155F3BE3"/>
    <w:rsid w:val="1982570F"/>
    <w:rsid w:val="1A5D5543"/>
    <w:rsid w:val="1A7A7495"/>
    <w:rsid w:val="1AAE6E17"/>
    <w:rsid w:val="1AE40620"/>
    <w:rsid w:val="1B237A2B"/>
    <w:rsid w:val="1B316A84"/>
    <w:rsid w:val="1C1E0C92"/>
    <w:rsid w:val="1D9A219A"/>
    <w:rsid w:val="1E267D45"/>
    <w:rsid w:val="21241D5B"/>
    <w:rsid w:val="21D01739"/>
    <w:rsid w:val="23681084"/>
    <w:rsid w:val="254E34CF"/>
    <w:rsid w:val="2604006D"/>
    <w:rsid w:val="263371B4"/>
    <w:rsid w:val="2785166C"/>
    <w:rsid w:val="279677A6"/>
    <w:rsid w:val="27C84326"/>
    <w:rsid w:val="2B00755F"/>
    <w:rsid w:val="2B54288C"/>
    <w:rsid w:val="2C805C21"/>
    <w:rsid w:val="2E9773A8"/>
    <w:rsid w:val="33123EA7"/>
    <w:rsid w:val="369E377D"/>
    <w:rsid w:val="36E267E1"/>
    <w:rsid w:val="3BC5388C"/>
    <w:rsid w:val="3CA8144C"/>
    <w:rsid w:val="3CD01279"/>
    <w:rsid w:val="3CEC6D99"/>
    <w:rsid w:val="3F3D706C"/>
    <w:rsid w:val="41482F85"/>
    <w:rsid w:val="41F561E4"/>
    <w:rsid w:val="4484797D"/>
    <w:rsid w:val="476352F5"/>
    <w:rsid w:val="47E31741"/>
    <w:rsid w:val="48285E53"/>
    <w:rsid w:val="4B2C5595"/>
    <w:rsid w:val="4C340C81"/>
    <w:rsid w:val="4C5E22DD"/>
    <w:rsid w:val="4FC357FD"/>
    <w:rsid w:val="50A240EB"/>
    <w:rsid w:val="530A1414"/>
    <w:rsid w:val="536D3800"/>
    <w:rsid w:val="54D732B6"/>
    <w:rsid w:val="569B4B2D"/>
    <w:rsid w:val="577E61E2"/>
    <w:rsid w:val="58225949"/>
    <w:rsid w:val="5EA92062"/>
    <w:rsid w:val="60DA51E8"/>
    <w:rsid w:val="60F11829"/>
    <w:rsid w:val="619430F9"/>
    <w:rsid w:val="65683817"/>
    <w:rsid w:val="65896223"/>
    <w:rsid w:val="66420072"/>
    <w:rsid w:val="67A6179A"/>
    <w:rsid w:val="682167C5"/>
    <w:rsid w:val="6ADF130F"/>
    <w:rsid w:val="6B777B7D"/>
    <w:rsid w:val="70D800A4"/>
    <w:rsid w:val="720041D5"/>
    <w:rsid w:val="76742372"/>
    <w:rsid w:val="7BED4B8E"/>
    <w:rsid w:val="7FD04B2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99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qFormat/>
    <w:uiPriority w:val="99"/>
    <w:rPr>
      <w:sz w:val="18"/>
      <w:szCs w:val="18"/>
    </w:rPr>
  </w:style>
  <w:style w:type="paragraph" w:styleId="3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99"/>
    <w:rPr>
      <w:sz w:val="24"/>
    </w:rPr>
  </w:style>
  <w:style w:type="character" w:styleId="8">
    <w:name w:val="Strong"/>
    <w:qFormat/>
    <w:uiPriority w:val="22"/>
    <w:rPr>
      <w:b/>
    </w:rPr>
  </w:style>
  <w:style w:type="character" w:customStyle="1" w:styleId="9">
    <w:name w:val="style131"/>
    <w:qFormat/>
    <w:uiPriority w:val="0"/>
    <w:rPr>
      <w:sz w:val="20"/>
    </w:rPr>
  </w:style>
  <w:style w:type="character" w:customStyle="1" w:styleId="10">
    <w:name w:val="页眉 字符"/>
    <w:link w:val="4"/>
    <w:qFormat/>
    <w:locked/>
    <w:uiPriority w:val="99"/>
    <w:rPr>
      <w:kern w:val="2"/>
      <w:sz w:val="18"/>
    </w:rPr>
  </w:style>
  <w:style w:type="character" w:customStyle="1" w:styleId="11">
    <w:name w:val="页脚 字符"/>
    <w:link w:val="3"/>
    <w:qFormat/>
    <w:locked/>
    <w:uiPriority w:val="99"/>
    <w:rPr>
      <w:kern w:val="2"/>
      <w:sz w:val="18"/>
    </w:rPr>
  </w:style>
  <w:style w:type="character" w:customStyle="1" w:styleId="12">
    <w:name w:val="批注框文本 字符"/>
    <w:link w:val="2"/>
    <w:qFormat/>
    <w:locked/>
    <w:uiPriority w:val="99"/>
    <w:rPr>
      <w:rFonts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WwW.YlmF.CoM</Company>
  <Pages>2</Pages>
  <Words>977</Words>
  <Characters>1059</Characters>
  <Lines>8</Lines>
  <Paragraphs>2</Paragraphs>
  <TotalTime>1</TotalTime>
  <ScaleCrop>false</ScaleCrop>
  <LinksUpToDate>false</LinksUpToDate>
  <CharactersWithSpaces>1179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2019-05-10T05:46:00Z</dcterms:created>
  <dc:creator>雨林木风</dc:creator>
  <cp:lastModifiedBy>叶子</cp:lastModifiedBy>
  <cp:lastPrinted>2020-06-02T02:19:00Z</cp:lastPrinted>
  <dcterms:modified xsi:type="dcterms:W3CDTF">2025-10-31T06:26:12Z</dcterms:modified>
  <dc:title>附件：</dc:title>
  <cp:revision>78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30B3C67C6EA34EC09568603A51F22648</vt:lpwstr>
  </property>
  <property fmtid="{D5CDD505-2E9C-101B-9397-08002B2CF9AE}" pid="4" name="KSOTemplateDocerSaveRecord">
    <vt:lpwstr>eyJoZGlkIjoiMzFiMGUzNGM3NTk4ZGI1ZTY0OTliMWE2NTE1MjI5NzEiLCJ1c2VySWQiOiI0NDUwOTgyOTEifQ==</vt:lpwstr>
  </property>
</Properties>
</file>